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rPr>
          <w:rFonts w:ascii="楷体_GB2312" w:eastAsia="楷体_GB2312"/>
          <w:szCs w:val="32"/>
        </w:rPr>
      </w:pPr>
      <w:r>
        <w:rPr>
          <w:rFonts w:hint="eastAsia"/>
          <w:szCs w:val="32"/>
        </w:rPr>
        <w:t xml:space="preserve">                     </w:t>
      </w:r>
    </w:p>
    <w:p>
      <w:pPr>
        <w:adjustRightInd w:val="0"/>
        <w:snapToGrid w:val="0"/>
        <w:spacing w:line="579" w:lineRule="exact"/>
        <w:jc w:val="center"/>
        <w:rPr>
          <w:rFonts w:eastAsia="方正小标宋简体"/>
          <w:sz w:val="44"/>
          <w:szCs w:val="44"/>
        </w:rPr>
      </w:pPr>
      <w:r>
        <w:rPr>
          <w:rFonts w:eastAsia="方正小标宋简体"/>
          <w:sz w:val="44"/>
          <w:szCs w:val="44"/>
        </w:rPr>
        <w:t>平凉市预算绩效</w:t>
      </w:r>
      <w:r>
        <w:rPr>
          <w:rFonts w:hint="eastAsia" w:eastAsia="方正小标宋简体"/>
          <w:sz w:val="44"/>
          <w:szCs w:val="44"/>
        </w:rPr>
        <w:t>管理</w:t>
      </w:r>
      <w:r>
        <w:rPr>
          <w:rFonts w:eastAsia="方正小标宋简体"/>
          <w:sz w:val="44"/>
          <w:szCs w:val="44"/>
        </w:rPr>
        <w:t>工作总结</w:t>
      </w:r>
      <w:bookmarkStart w:id="0" w:name="_GoBack"/>
      <w:bookmarkEnd w:id="0"/>
    </w:p>
    <w:p>
      <w:pPr>
        <w:adjustRightInd w:val="0"/>
        <w:snapToGrid w:val="0"/>
        <w:spacing w:line="579" w:lineRule="exact"/>
        <w:jc w:val="center"/>
        <w:rPr>
          <w:rFonts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center"/>
        <w:textAlignment w:val="auto"/>
        <w:rPr>
          <w:rFonts w:ascii="仿宋_GB2312"/>
          <w:szCs w:val="32"/>
        </w:rPr>
      </w:pPr>
      <w:r>
        <w:rPr>
          <w:rFonts w:hint="eastAsia"/>
          <w:szCs w:val="32"/>
        </w:rPr>
        <w:t>2020</w:t>
      </w:r>
      <w:r>
        <w:rPr>
          <w:rFonts w:hint="eastAsia" w:ascii="仿宋_GB2312"/>
          <w:szCs w:val="32"/>
        </w:rPr>
        <w:t>年，我市认真贯彻落实中央、省、市有关文件精神，积极推进预算绩效管理工作，不断提</w:t>
      </w:r>
      <w:r>
        <w:rPr>
          <w:rFonts w:hint="eastAsia" w:ascii="仿宋_GB2312"/>
          <w:szCs w:val="32"/>
          <w:lang w:eastAsia="zh-CN"/>
        </w:rPr>
        <w:t>升</w:t>
      </w:r>
      <w:r>
        <w:rPr>
          <w:rFonts w:hint="eastAsia" w:ascii="仿宋_GB2312"/>
          <w:szCs w:val="32"/>
        </w:rPr>
        <w:t>工作质量和水平,提高财政资金使用效益，预算绩效管理工作取得了较好成效。现将我市预算绩效管理工作情况总结汇报如下：</w:t>
      </w:r>
    </w:p>
    <w:p>
      <w:pPr>
        <w:widowControl/>
        <w:shd w:val="clear" w:color="auto" w:fill="FFFFFF"/>
        <w:adjustRightInd w:val="0"/>
        <w:snapToGrid w:val="0"/>
        <w:spacing w:line="579" w:lineRule="exact"/>
        <w:ind w:firstLine="700" w:firstLineChars="200"/>
        <w:rPr>
          <w:rFonts w:eastAsia="黑体"/>
          <w:bCs/>
          <w:color w:val="000000"/>
          <w:spacing w:val="15"/>
          <w:kern w:val="0"/>
          <w:szCs w:val="32"/>
        </w:rPr>
      </w:pPr>
      <w:r>
        <w:rPr>
          <w:rFonts w:eastAsia="黑体"/>
          <w:bCs/>
          <w:color w:val="000000"/>
          <w:spacing w:val="15"/>
          <w:kern w:val="0"/>
          <w:szCs w:val="32"/>
        </w:rPr>
        <w:t>一、预算绩效管理工作开展情况</w:t>
      </w:r>
    </w:p>
    <w:p>
      <w:pPr>
        <w:adjustRightInd w:val="0"/>
        <w:snapToGrid w:val="0"/>
        <w:spacing w:line="579" w:lineRule="exact"/>
        <w:ind w:firstLine="703" w:firstLineChars="200"/>
        <w:jc w:val="left"/>
        <w:rPr>
          <w:rStyle w:val="13"/>
          <w:color w:val="FF0000"/>
          <w:szCs w:val="32"/>
        </w:rPr>
      </w:pPr>
      <w:r>
        <w:rPr>
          <w:rFonts w:eastAsia="楷体_GB2312"/>
          <w:b/>
          <w:bCs/>
          <w:color w:val="000000"/>
          <w:spacing w:val="15"/>
          <w:kern w:val="0"/>
          <w:szCs w:val="32"/>
        </w:rPr>
        <w:t>(一)坚持建章立制，</w:t>
      </w:r>
      <w:r>
        <w:rPr>
          <w:rFonts w:hint="eastAsia" w:eastAsia="楷体_GB2312"/>
          <w:b/>
          <w:bCs/>
          <w:color w:val="000000"/>
          <w:spacing w:val="15"/>
          <w:kern w:val="0"/>
          <w:szCs w:val="32"/>
        </w:rPr>
        <w:t>不断</w:t>
      </w:r>
      <w:r>
        <w:rPr>
          <w:rFonts w:eastAsia="楷体_GB2312"/>
          <w:b/>
          <w:bCs/>
          <w:color w:val="000000"/>
          <w:spacing w:val="15"/>
          <w:kern w:val="0"/>
          <w:szCs w:val="32"/>
        </w:rPr>
        <w:t>完善制度体系。</w:t>
      </w:r>
      <w:r>
        <w:rPr>
          <w:rFonts w:hint="eastAsia"/>
          <w:szCs w:val="32"/>
        </w:rPr>
        <w:t>2020年，</w:t>
      </w:r>
      <w:r>
        <w:rPr>
          <w:szCs w:val="32"/>
        </w:rPr>
        <w:t>根据省财政厅对预算绩效管理工作的要求，</w:t>
      </w:r>
      <w:r>
        <w:rPr>
          <w:rFonts w:hint="eastAsia"/>
          <w:szCs w:val="32"/>
        </w:rPr>
        <w:t>市本级</w:t>
      </w:r>
      <w:r>
        <w:rPr>
          <w:szCs w:val="32"/>
        </w:rPr>
        <w:t>财政部门制定</w:t>
      </w:r>
      <w:r>
        <w:rPr>
          <w:rFonts w:hint="eastAsia"/>
          <w:szCs w:val="32"/>
        </w:rPr>
        <w:t>印发了《平凉市财政局关于进一步加强2020年预算绩效管理工作的通知》（平财绩〔2020〕2号），着重从绩效评价组织与管理形式，评价对象、方法和程序，以及评价及评价结果运用等方面作了具体的要求。</w:t>
      </w:r>
      <w:r>
        <w:rPr>
          <w:rFonts w:hint="eastAsia" w:ascii="仿宋_GB2312" w:hAnsi="仿宋_GB2312" w:cs="仿宋_GB2312"/>
          <w:color w:val="FF0000"/>
          <w:szCs w:val="32"/>
          <w:shd w:val="clear" w:color="auto" w:fill="FFFFFF"/>
        </w:rPr>
        <w:t>崆峒区</w:t>
      </w:r>
      <w:r>
        <w:rPr>
          <w:rFonts w:hint="eastAsia" w:ascii="仿宋_GB2312" w:hAnsi="仿宋_GB2312" w:cs="仿宋_GB2312"/>
          <w:szCs w:val="32"/>
          <w:shd w:val="clear" w:color="auto" w:fill="FFFFFF"/>
        </w:rPr>
        <w:t>制定了《崆峒区区级预算绩效管理实施办法（试行）》、</w:t>
      </w:r>
      <w:r>
        <w:rPr>
          <w:rFonts w:hint="eastAsia" w:ascii="仿宋_GB2312" w:hAnsi="仿宋_GB2312" w:cs="仿宋_GB2312"/>
          <w:color w:val="000000"/>
          <w:szCs w:val="32"/>
        </w:rPr>
        <w:t>《崆峒区财政支出绩效评价内部协调工作制度（试行）》等规章制度。</w:t>
      </w:r>
      <w:r>
        <w:rPr>
          <w:rFonts w:hint="eastAsia"/>
          <w:color w:val="FF0000"/>
          <w:szCs w:val="32"/>
        </w:rPr>
        <w:t>华亭市</w:t>
      </w:r>
      <w:r>
        <w:rPr>
          <w:rFonts w:hint="eastAsia"/>
          <w:szCs w:val="32"/>
        </w:rPr>
        <w:t>先后制定印发了《华亭市本级预算绩效管理操作规程》（华财发〔2020〕300号）、《华亭市财政局预算绩效管理内部运行规程》（华财发〔2020〕301号)及《华亭市专家和中介机构参与预算绩效评价管理工作规程》（华财发〔2020〕322号）等规范性规章制度。</w:t>
      </w:r>
      <w:r>
        <w:rPr>
          <w:rFonts w:hint="eastAsia"/>
          <w:color w:val="FF0000"/>
        </w:rPr>
        <w:t>灵台县</w:t>
      </w:r>
      <w:r>
        <w:rPr>
          <w:rFonts w:hint="eastAsia" w:ascii="仿宋_GB2312"/>
        </w:rPr>
        <w:t>先后制订印发了《灵台县关于全面实施预算绩效管理的实施意见》、</w:t>
      </w:r>
      <w:r>
        <w:rPr>
          <w:rFonts w:hint="eastAsia" w:ascii="仿宋_GB2312" w:hAnsi="仿宋" w:cs="仿宋"/>
          <w:szCs w:val="32"/>
        </w:rPr>
        <w:t>《灵台县预算绩效目标管理办法》、《灵台县部门预算绩效运行监控管理暂行办法》和《灵台县财政局预算绩效管理内部工作规程》等制度，</w:t>
      </w:r>
      <w:r>
        <w:rPr>
          <w:rFonts w:hint="eastAsia" w:ascii="仿宋_GB2312"/>
        </w:rPr>
        <w:t>规范了绩效管理工作流程，为预算绩效管理工作规范开展奠定了制度基础。</w:t>
      </w:r>
      <w:r>
        <w:rPr>
          <w:rFonts w:ascii="仿宋_GB2312" w:hAnsi="仿宋_GB2312" w:cs="仿宋_GB2312"/>
          <w:color w:val="FF0000"/>
          <w:szCs w:val="32"/>
          <w:shd w:val="clear" w:color="auto" w:fill="FFFFFF"/>
        </w:rPr>
        <w:t>庄浪县</w:t>
      </w:r>
      <w:r>
        <w:rPr>
          <w:rStyle w:val="13"/>
        </w:rPr>
        <w:t>推动出台了《庄浪县扶贫资金动态监控系统（直达资金监控系统）管理制度》（庄财发</w:t>
      </w:r>
      <w:r>
        <w:rPr>
          <w:rStyle w:val="13"/>
          <w:rFonts w:hAnsi="宋体" w:eastAsia="宋体"/>
        </w:rPr>
        <w:t>﹝</w:t>
      </w:r>
      <w:r>
        <w:rPr>
          <w:rStyle w:val="13"/>
        </w:rPr>
        <w:t>2020</w:t>
      </w:r>
      <w:r>
        <w:rPr>
          <w:rStyle w:val="13"/>
          <w:rFonts w:hAnsi="宋体" w:eastAsia="宋体"/>
        </w:rPr>
        <w:t>﹞</w:t>
      </w:r>
      <w:r>
        <w:rPr>
          <w:rStyle w:val="13"/>
        </w:rPr>
        <w:t>109号）、《庄浪县财政扶贫项目资金绩效目标跟踪监控管理实施细则》（庄财发</w:t>
      </w:r>
      <w:r>
        <w:rPr>
          <w:rStyle w:val="13"/>
          <w:rFonts w:hAnsi="宋体" w:eastAsia="宋体"/>
        </w:rPr>
        <w:t>﹝</w:t>
      </w:r>
      <w:r>
        <w:rPr>
          <w:rStyle w:val="13"/>
        </w:rPr>
        <w:t>2020</w:t>
      </w:r>
      <w:r>
        <w:rPr>
          <w:rStyle w:val="13"/>
          <w:rFonts w:hAnsi="宋体" w:eastAsia="宋体"/>
        </w:rPr>
        <w:t>﹞</w:t>
      </w:r>
      <w:r>
        <w:rPr>
          <w:rStyle w:val="13"/>
        </w:rPr>
        <w:t>105号）</w:t>
      </w:r>
      <w:r>
        <w:rPr>
          <w:rStyle w:val="13"/>
          <w:rFonts w:hint="eastAsia"/>
        </w:rPr>
        <w:t>等规章制度。</w:t>
      </w:r>
      <w:r>
        <w:rPr>
          <w:rFonts w:hint="eastAsia" w:ascii="仿宋_GB2312" w:hAnsi="仿宋_GB2312" w:cs="仿宋_GB2312"/>
          <w:color w:val="FF0000"/>
          <w:szCs w:val="32"/>
          <w:shd w:val="clear" w:color="auto" w:fill="FFFFFF"/>
        </w:rPr>
        <w:t>静宁县</w:t>
      </w:r>
      <w:r>
        <w:rPr>
          <w:rFonts w:hint="eastAsia"/>
          <w:szCs w:val="32"/>
        </w:rPr>
        <w:t>先后出台《静宁县预算绩效管理评价方案》、</w:t>
      </w:r>
      <w:r>
        <w:rPr>
          <w:szCs w:val="32"/>
        </w:rPr>
        <w:t>《</w:t>
      </w:r>
      <w:r>
        <w:rPr>
          <w:rFonts w:hint="eastAsia"/>
          <w:szCs w:val="32"/>
        </w:rPr>
        <w:t>静宁县财政预算绩效管理专家库建设管理暂行办法</w:t>
      </w:r>
      <w:r>
        <w:rPr>
          <w:szCs w:val="32"/>
        </w:rPr>
        <w:t>》</w:t>
      </w:r>
      <w:r>
        <w:rPr>
          <w:rFonts w:hint="eastAsia"/>
          <w:szCs w:val="32"/>
        </w:rPr>
        <w:t>（静财字</w:t>
      </w:r>
      <w:r>
        <w:rPr>
          <w:rFonts w:hint="eastAsia" w:ascii="仿宋_GB2312"/>
          <w:szCs w:val="32"/>
        </w:rPr>
        <w:t>〔</w:t>
      </w:r>
      <w:r>
        <w:rPr>
          <w:rStyle w:val="13"/>
          <w:rFonts w:hint="eastAsia"/>
        </w:rPr>
        <w:t>2019</w:t>
      </w:r>
      <w:r>
        <w:rPr>
          <w:rFonts w:hint="eastAsia" w:ascii="仿宋_GB2312"/>
          <w:szCs w:val="32"/>
        </w:rPr>
        <w:t>〕</w:t>
      </w:r>
      <w:r>
        <w:rPr>
          <w:rStyle w:val="13"/>
          <w:rFonts w:hint="eastAsia"/>
        </w:rPr>
        <w:t>26</w:t>
      </w:r>
      <w:r>
        <w:rPr>
          <w:rFonts w:hint="eastAsia" w:ascii="仿宋_GB2312"/>
          <w:szCs w:val="32"/>
        </w:rPr>
        <w:t>号）</w:t>
      </w:r>
      <w:r>
        <w:rPr>
          <w:rFonts w:hint="eastAsia"/>
          <w:szCs w:val="32"/>
        </w:rPr>
        <w:t>等系列</w:t>
      </w:r>
      <w:r>
        <w:rPr>
          <w:szCs w:val="32"/>
        </w:rPr>
        <w:t>制</w:t>
      </w:r>
      <w:r>
        <w:rPr>
          <w:rFonts w:hint="eastAsia"/>
          <w:szCs w:val="32"/>
        </w:rPr>
        <w:t>度。</w:t>
      </w:r>
      <w:r>
        <w:rPr>
          <w:rFonts w:hint="eastAsia"/>
          <w:color w:val="FF0000"/>
          <w:szCs w:val="32"/>
          <w:shd w:val="clear" w:color="auto" w:fill="FFFFFF"/>
        </w:rPr>
        <w:t>泾川县</w:t>
      </w:r>
      <w:r>
        <w:rPr>
          <w:rFonts w:hint="eastAsia" w:ascii="仿宋_GB2312"/>
          <w:szCs w:val="32"/>
        </w:rPr>
        <w:t>制定印发了《泾川县预算绩效管理工作实施方案》、《泾川县扶贫资金绩效管理实施细则》及《泾川县财政扶贫资金绩效目标跟踪监控管理办法》等相关工作制度，绩效管理制度更加完善。</w:t>
      </w:r>
    </w:p>
    <w:p>
      <w:pPr>
        <w:spacing w:line="579" w:lineRule="exact"/>
        <w:ind w:firstLine="527" w:firstLineChars="150"/>
        <w:rPr>
          <w:rFonts w:ascii="仿宋_GB2312"/>
          <w:szCs w:val="32"/>
        </w:rPr>
      </w:pPr>
      <w:r>
        <w:rPr>
          <w:rFonts w:eastAsia="楷体_GB2312"/>
          <w:b/>
          <w:bCs/>
          <w:color w:val="000000"/>
          <w:spacing w:val="15"/>
          <w:kern w:val="0"/>
          <w:szCs w:val="32"/>
        </w:rPr>
        <w:t>（</w:t>
      </w:r>
      <w:r>
        <w:rPr>
          <w:rFonts w:hint="eastAsia" w:eastAsia="楷体_GB2312"/>
          <w:b/>
          <w:bCs/>
          <w:color w:val="000000"/>
          <w:spacing w:val="15"/>
          <w:kern w:val="0"/>
          <w:szCs w:val="32"/>
        </w:rPr>
        <w:t>二</w:t>
      </w:r>
      <w:r>
        <w:rPr>
          <w:rFonts w:eastAsia="楷体_GB2312"/>
          <w:b/>
          <w:bCs/>
          <w:color w:val="000000"/>
          <w:spacing w:val="15"/>
          <w:kern w:val="0"/>
          <w:szCs w:val="32"/>
        </w:rPr>
        <w:t>）加大培训力度，提升业务能力水平。</w:t>
      </w:r>
      <w:r>
        <w:rPr>
          <w:rFonts w:hint="eastAsia"/>
          <w:szCs w:val="32"/>
        </w:rPr>
        <w:t>市</w:t>
      </w:r>
      <w:r>
        <w:rPr>
          <w:rFonts w:hint="eastAsia"/>
        </w:rPr>
        <w:t>本级</w:t>
      </w:r>
      <w:r>
        <w:t>为更好地推进</w:t>
      </w:r>
      <w:r>
        <w:rPr>
          <w:rFonts w:hint="eastAsia"/>
        </w:rPr>
        <w:t>预算</w:t>
      </w:r>
      <w:r>
        <w:t>绩效管理工作</w:t>
      </w:r>
      <w:r>
        <w:rPr>
          <w:rFonts w:hint="eastAsia"/>
        </w:rPr>
        <w:t>，举办全市预算绩效管理工作培训班</w:t>
      </w:r>
      <w:r>
        <w:rPr>
          <w:rFonts w:hint="eastAsia"/>
          <w:color w:val="000000"/>
          <w:szCs w:val="22"/>
        </w:rPr>
        <w:t>1</w:t>
      </w:r>
      <w:r>
        <w:rPr>
          <w:rFonts w:hint="eastAsia"/>
        </w:rPr>
        <w:t>期，邀请省财政厅预算绩效处黄伟同志讲解了预算绩效管理工作发展过程和工作实践经验，各县（市、区）、平凉工业园区财政局、市直各预算单位分管领导和业务人员，市财政局领导班子成员及各科室负责人共计180多人参加培训，</w:t>
      </w:r>
      <w:r>
        <w:t>为全面提高预算绩效管理质量奠定了坚实基础。</w:t>
      </w:r>
      <w:r>
        <w:rPr>
          <w:rFonts w:hint="eastAsia"/>
        </w:rPr>
        <w:t> </w:t>
      </w:r>
      <w:r>
        <w:rPr>
          <w:rFonts w:hint="eastAsia"/>
          <w:color w:val="FF0000"/>
        </w:rPr>
        <w:t>华亭市</w:t>
      </w:r>
      <w:r>
        <w:rPr>
          <w:rFonts w:hint="eastAsia"/>
        </w:rPr>
        <w:t>聘请兰州恒通会计事务所讲师，在影剧院举办全市预算绩效管理工作培训会，对全市各预算单位分管领导和业务人员进行了专题培训，编制印发培训资料150册，培训人员322名。</w:t>
      </w:r>
      <w:r>
        <w:rPr>
          <w:rFonts w:hint="eastAsia"/>
          <w:color w:val="FF0000"/>
        </w:rPr>
        <w:t>灵台县</w:t>
      </w:r>
      <w:r>
        <w:t>围绕预算绩效管理政策及实务操作、预算绩效目标申报与审核、全面实施预算绩效目标管理相关政策解读等开展专题培训</w:t>
      </w:r>
      <w:r>
        <w:rPr>
          <w:rFonts w:hint="eastAsia"/>
          <w:color w:val="000000"/>
          <w:szCs w:val="22"/>
        </w:rPr>
        <w:t>2</w:t>
      </w:r>
      <w:r>
        <w:t>批（次），涉及人员</w:t>
      </w:r>
      <w:r>
        <w:rPr>
          <w:rFonts w:hint="eastAsia"/>
        </w:rPr>
        <w:t>190</w:t>
      </w:r>
      <w:r>
        <w:t>多人，</w:t>
      </w:r>
      <w:r>
        <w:rPr>
          <w:rFonts w:hint="eastAsia"/>
        </w:rPr>
        <w:t>有效</w:t>
      </w:r>
      <w:r>
        <w:t>提升</w:t>
      </w:r>
      <w:r>
        <w:rPr>
          <w:rFonts w:hint="eastAsia"/>
        </w:rPr>
        <w:t>了</w:t>
      </w:r>
      <w:r>
        <w:t>业务人员</w:t>
      </w:r>
      <w:r>
        <w:rPr>
          <w:color w:val="000000"/>
        </w:rPr>
        <w:t>工作能力和业务水平</w:t>
      </w:r>
      <w:r>
        <w:rPr>
          <w:rFonts w:hint="eastAsia"/>
          <w:color w:val="000000"/>
        </w:rPr>
        <w:t>。</w:t>
      </w:r>
      <w:r>
        <w:rPr>
          <w:color w:val="FF0000"/>
        </w:rPr>
        <w:t>庄浪县</w:t>
      </w:r>
      <w:r>
        <w:rPr>
          <w:rStyle w:val="13"/>
          <w:rFonts w:ascii="仿宋_GB2312" w:hAnsi="微软雅黑"/>
          <w:color w:val="000000"/>
          <w:kern w:val="0"/>
          <w:szCs w:val="32"/>
        </w:rPr>
        <w:t>召开预算绩效管理工作专题培训会</w:t>
      </w:r>
      <w:r>
        <w:rPr>
          <w:color w:val="000000"/>
          <w:szCs w:val="22"/>
        </w:rPr>
        <w:t>3</w:t>
      </w:r>
      <w:r>
        <w:rPr>
          <w:rStyle w:val="13"/>
          <w:rFonts w:ascii="仿宋_GB2312"/>
          <w:szCs w:val="32"/>
        </w:rPr>
        <w:t>次</w:t>
      </w:r>
      <w:r>
        <w:rPr>
          <w:rStyle w:val="13"/>
          <w:rFonts w:hint="eastAsia" w:ascii="仿宋_GB2312"/>
          <w:szCs w:val="32"/>
        </w:rPr>
        <w:t>。第1次主要</w:t>
      </w:r>
      <w:r>
        <w:rPr>
          <w:rStyle w:val="13"/>
          <w:rFonts w:ascii="仿宋_GB2312"/>
          <w:szCs w:val="32"/>
        </w:rPr>
        <w:t>对财政系统所有业务经办，采取现场及“陇政钉”形式进行了业务培训，重点讲解预算编制环节如何编制绩效目标，并发放《预算绩效管理培训手册》</w:t>
      </w:r>
      <w:r>
        <w:rPr>
          <w:color w:val="000000"/>
          <w:szCs w:val="22"/>
        </w:rPr>
        <w:t>60</w:t>
      </w:r>
      <w:r>
        <w:rPr>
          <w:rStyle w:val="13"/>
          <w:rFonts w:ascii="仿宋_GB2312"/>
          <w:szCs w:val="32"/>
        </w:rPr>
        <w:t>份</w:t>
      </w:r>
      <w:r>
        <w:rPr>
          <w:rStyle w:val="13"/>
          <w:rFonts w:hint="eastAsia" w:ascii="仿宋_GB2312"/>
          <w:szCs w:val="32"/>
        </w:rPr>
        <w:t>。第2次</w:t>
      </w:r>
      <w:r>
        <w:rPr>
          <w:rStyle w:val="13"/>
          <w:rFonts w:ascii="仿宋_GB2312"/>
          <w:szCs w:val="32"/>
        </w:rPr>
        <w:t>对各乡镇财政所业务经办采取现场讲解与互相提问的方式，重点讲解预算绩效管理</w:t>
      </w:r>
      <w:r>
        <w:rPr>
          <w:rStyle w:val="13"/>
          <w:rFonts w:hint="eastAsia" w:ascii="仿宋_GB2312"/>
          <w:szCs w:val="32"/>
        </w:rPr>
        <w:t>的</w:t>
      </w:r>
      <w:r>
        <w:rPr>
          <w:rStyle w:val="13"/>
          <w:rFonts w:ascii="仿宋_GB2312"/>
          <w:szCs w:val="32"/>
        </w:rPr>
        <w:t>流程</w:t>
      </w:r>
      <w:r>
        <w:rPr>
          <w:rStyle w:val="13"/>
          <w:rFonts w:hint="eastAsia" w:ascii="仿宋_GB2312"/>
          <w:szCs w:val="32"/>
        </w:rPr>
        <w:t>。第3次</w:t>
      </w:r>
      <w:r>
        <w:rPr>
          <w:rStyle w:val="13"/>
          <w:rFonts w:ascii="仿宋_GB2312"/>
          <w:szCs w:val="32"/>
        </w:rPr>
        <w:t>邀请</w:t>
      </w:r>
      <w:r>
        <w:rPr>
          <w:rStyle w:val="13"/>
          <w:rFonts w:hint="eastAsia" w:ascii="仿宋_GB2312"/>
          <w:szCs w:val="32"/>
        </w:rPr>
        <w:t>了</w:t>
      </w:r>
      <w:r>
        <w:rPr>
          <w:rStyle w:val="13"/>
          <w:rFonts w:ascii="仿宋_GB2312"/>
          <w:szCs w:val="32"/>
        </w:rPr>
        <w:t>第三方机构对全县各预算单位业务人员进行培训，从预算绩效管理的背景和意义入手，结合预算绩效目标编制案例，分别就预算绩效管理流程、预算绩效管理内容等方面做了详细讲解</w:t>
      </w:r>
      <w:r>
        <w:rPr>
          <w:rStyle w:val="13"/>
          <w:rFonts w:ascii="仿宋_GB2312" w:hAnsi="微软雅黑"/>
          <w:color w:val="000000"/>
          <w:kern w:val="0"/>
          <w:szCs w:val="32"/>
        </w:rPr>
        <w:t>。</w:t>
      </w:r>
      <w:r>
        <w:rPr>
          <w:rStyle w:val="13"/>
          <w:rFonts w:hint="eastAsia" w:ascii="仿宋_GB2312" w:hAnsi="微软雅黑"/>
          <w:color w:val="FF0000"/>
          <w:kern w:val="0"/>
          <w:szCs w:val="32"/>
        </w:rPr>
        <w:t>静宁县</w:t>
      </w:r>
      <w:r>
        <w:rPr>
          <w:rFonts w:hint="eastAsia"/>
          <w:szCs w:val="32"/>
        </w:rPr>
        <w:t>举办了由预算单位分管领导和业务人员230人参加的全县会计人员业务培训会，对绩效评价工作推进程度、整体架构及存在的薄弱环节进行了通报，并就下年度绩效评价工作做了整体的安排与部署。</w:t>
      </w:r>
      <w:r>
        <w:rPr>
          <w:rStyle w:val="13"/>
          <w:rFonts w:hint="eastAsia" w:ascii="仿宋_GB2312" w:hAnsi="微软雅黑"/>
          <w:color w:val="FF0000"/>
          <w:kern w:val="0"/>
        </w:rPr>
        <w:t>泾川县</w:t>
      </w:r>
      <w:r>
        <w:rPr>
          <w:rFonts w:hint="eastAsia" w:ascii="仿宋_GB2312"/>
          <w:szCs w:val="32"/>
        </w:rPr>
        <w:t>举办了为期两天的全县财政财务管理培训班，</w:t>
      </w:r>
      <w:r>
        <w:rPr>
          <w:rFonts w:ascii="仿宋_GB2312"/>
          <w:szCs w:val="32"/>
        </w:rPr>
        <w:t>财政投资绩效评价中心负责同志对全面实施预算绩效管理相关知识进行了讲解和辅导</w:t>
      </w:r>
      <w:r>
        <w:rPr>
          <w:rFonts w:hint="eastAsia" w:ascii="仿宋_GB2312"/>
          <w:szCs w:val="32"/>
        </w:rPr>
        <w:t>。</w:t>
      </w:r>
    </w:p>
    <w:p>
      <w:pPr>
        <w:spacing w:line="579" w:lineRule="exact"/>
        <w:rPr>
          <w:rFonts w:ascii="仿宋_GB2312"/>
          <w:szCs w:val="32"/>
        </w:rPr>
      </w:pPr>
      <w:r>
        <w:rPr>
          <w:rFonts w:hint="eastAsia" w:eastAsia="楷体_GB2312"/>
          <w:b/>
          <w:bCs/>
          <w:color w:val="000000"/>
          <w:spacing w:val="15"/>
          <w:kern w:val="0"/>
          <w:szCs w:val="32"/>
        </w:rPr>
        <w:t xml:space="preserve">    (三)</w:t>
      </w:r>
      <w:r>
        <w:rPr>
          <w:rFonts w:eastAsia="楷体_GB2312"/>
          <w:b/>
          <w:bCs/>
          <w:color w:val="000000"/>
          <w:spacing w:val="15"/>
          <w:kern w:val="0"/>
          <w:szCs w:val="32"/>
        </w:rPr>
        <w:t>坚持目标先行，规范</w:t>
      </w:r>
      <w:r>
        <w:rPr>
          <w:rFonts w:hint="eastAsia" w:eastAsia="楷体_GB2312"/>
          <w:b/>
          <w:bCs/>
          <w:color w:val="000000"/>
          <w:spacing w:val="15"/>
          <w:kern w:val="0"/>
          <w:szCs w:val="32"/>
        </w:rPr>
        <w:t>绩效</w:t>
      </w:r>
      <w:r>
        <w:rPr>
          <w:rFonts w:eastAsia="楷体_GB2312"/>
          <w:b/>
          <w:bCs/>
          <w:color w:val="000000"/>
          <w:spacing w:val="15"/>
          <w:kern w:val="0"/>
          <w:szCs w:val="32"/>
        </w:rPr>
        <w:t>评价程序</w:t>
      </w:r>
      <w:r>
        <w:rPr>
          <w:rFonts w:hint="eastAsia" w:eastAsia="楷体_GB2312"/>
          <w:b/>
          <w:bCs/>
          <w:color w:val="000000"/>
          <w:spacing w:val="15"/>
          <w:kern w:val="0"/>
          <w:szCs w:val="32"/>
        </w:rPr>
        <w:t>。</w:t>
      </w:r>
      <w:r>
        <w:rPr>
          <w:rFonts w:hint="eastAsia" w:ascii="仿宋_GB2312"/>
          <w:szCs w:val="32"/>
        </w:rPr>
        <w:t>市本级及时对</w:t>
      </w:r>
      <w:r>
        <w:rPr>
          <w:rFonts w:hint="eastAsia" w:cs="宋体"/>
          <w:szCs w:val="32"/>
        </w:rPr>
        <w:t>177</w:t>
      </w:r>
      <w:r>
        <w:rPr>
          <w:rFonts w:hint="eastAsia" w:ascii="仿宋_GB2312"/>
          <w:szCs w:val="32"/>
        </w:rPr>
        <w:t>个预算单位编制上报的绩效目标指标体系进行了事前审核，指导并督促各预算单位按照参与模版，将绩效目标指标体系尽量细化，实现定性与定量相结合，为单位开展自评奠定了基础。</w:t>
      </w:r>
      <w:r>
        <w:rPr>
          <w:rFonts w:hint="eastAsia" w:ascii="仿宋_GB2312" w:hAnsi="仿宋" w:cs="仿宋"/>
          <w:color w:val="FF0000"/>
          <w:szCs w:val="32"/>
        </w:rPr>
        <w:t>华亭市</w:t>
      </w:r>
      <w:r>
        <w:rPr>
          <w:rFonts w:hint="eastAsia" w:ascii="仿宋_GB2312"/>
          <w:szCs w:val="32"/>
        </w:rPr>
        <w:t>将全市</w:t>
      </w:r>
      <w:r>
        <w:rPr>
          <w:rFonts w:hint="eastAsia" w:cs="宋体"/>
          <w:szCs w:val="32"/>
        </w:rPr>
        <w:t>180个</w:t>
      </w:r>
      <w:r>
        <w:rPr>
          <w:rFonts w:hint="eastAsia" w:ascii="仿宋_GB2312"/>
          <w:szCs w:val="32"/>
        </w:rPr>
        <w:t>预算单位（一</w:t>
      </w:r>
      <w:r>
        <w:rPr>
          <w:rFonts w:hint="eastAsia" w:cs="宋体"/>
          <w:szCs w:val="32"/>
        </w:rPr>
        <w:t>级单位</w:t>
      </w:r>
      <w:r>
        <w:rPr>
          <w:rFonts w:hint="eastAsia"/>
          <w:color w:val="000000"/>
          <w:szCs w:val="22"/>
        </w:rPr>
        <w:t>86</w:t>
      </w:r>
      <w:r>
        <w:rPr>
          <w:rFonts w:hint="eastAsia" w:cs="宋体"/>
          <w:szCs w:val="32"/>
        </w:rPr>
        <w:t>个、二级单位</w:t>
      </w:r>
      <w:r>
        <w:rPr>
          <w:rFonts w:hint="eastAsia"/>
          <w:color w:val="000000"/>
          <w:szCs w:val="22"/>
        </w:rPr>
        <w:t>84</w:t>
      </w:r>
      <w:r>
        <w:rPr>
          <w:rFonts w:hint="eastAsia" w:cs="宋体"/>
          <w:szCs w:val="32"/>
        </w:rPr>
        <w:t>个）涉及的</w:t>
      </w:r>
      <w:r>
        <w:rPr>
          <w:rFonts w:hint="eastAsia" w:ascii="仿宋_GB2312" w:hAnsi="仿宋_GB2312" w:cs="仿宋_GB2312"/>
          <w:szCs w:val="32"/>
          <w:lang w:bidi="zh-CN"/>
        </w:rPr>
        <w:t>一般公共预算、政府性基金预算、国有资本经营预算等</w:t>
      </w:r>
      <w:r>
        <w:rPr>
          <w:rFonts w:hint="eastAsia"/>
          <w:color w:val="000000"/>
          <w:szCs w:val="22"/>
        </w:rPr>
        <w:t>233</w:t>
      </w:r>
      <w:r>
        <w:rPr>
          <w:rFonts w:hint="eastAsia" w:ascii="仿宋_GB2312" w:hAnsi="仿宋_GB2312" w:cs="仿宋_GB2312"/>
          <w:szCs w:val="32"/>
          <w:lang w:bidi="zh-CN"/>
        </w:rPr>
        <w:t>个项目</w:t>
      </w:r>
      <w:r>
        <w:rPr>
          <w:rFonts w:hint="eastAsia"/>
          <w:color w:val="000000"/>
          <w:szCs w:val="22"/>
        </w:rPr>
        <w:t>41700.62</w:t>
      </w:r>
      <w:r>
        <w:rPr>
          <w:rFonts w:hint="eastAsia" w:ascii="仿宋_GB2312" w:hAnsi="仿宋_GB2312" w:cs="仿宋_GB2312"/>
          <w:szCs w:val="32"/>
          <w:lang w:bidi="zh-CN"/>
        </w:rPr>
        <w:t>万元全部纳入绩效管理范围，作为预算安排的前置条件进行审核、批复。</w:t>
      </w:r>
      <w:r>
        <w:rPr>
          <w:rFonts w:hint="eastAsia" w:ascii="仿宋_GB2312" w:hAnsi="仿宋" w:cs="仿宋"/>
          <w:color w:val="FF0000"/>
          <w:szCs w:val="32"/>
        </w:rPr>
        <w:t>灵台县</w:t>
      </w:r>
      <w:r>
        <w:rPr>
          <w:rFonts w:hint="eastAsia" w:ascii="仿宋_GB2312"/>
        </w:rPr>
        <w:t>全年</w:t>
      </w:r>
      <w:r>
        <w:rPr>
          <w:rFonts w:hint="eastAsia" w:ascii="仿宋_GB2312" w:hAnsi="仿宋" w:cs="仿宋"/>
          <w:szCs w:val="32"/>
        </w:rPr>
        <w:t>组织对全县</w:t>
      </w:r>
      <w:r>
        <w:rPr>
          <w:rFonts w:hint="eastAsia"/>
          <w:color w:val="000000"/>
          <w:szCs w:val="22"/>
        </w:rPr>
        <w:t>163</w:t>
      </w:r>
      <w:r>
        <w:rPr>
          <w:rFonts w:hint="eastAsia" w:ascii="仿宋_GB2312" w:hAnsi="仿宋" w:cs="仿宋"/>
          <w:szCs w:val="32"/>
        </w:rPr>
        <w:t>个预算单位和</w:t>
      </w:r>
      <w:r>
        <w:rPr>
          <w:rFonts w:hint="eastAsia"/>
          <w:color w:val="000000"/>
          <w:szCs w:val="22"/>
        </w:rPr>
        <w:t>273</w:t>
      </w:r>
      <w:r>
        <w:rPr>
          <w:rFonts w:hint="eastAsia" w:ascii="仿宋_GB2312" w:hAnsi="仿宋" w:cs="仿宋"/>
          <w:szCs w:val="32"/>
        </w:rPr>
        <w:t>个县级资金安排项目编制了部门（单位）整体支出绩效目标和项目支出绩效目标，并逐单位、逐项目进行了审核和批复</w:t>
      </w:r>
      <w:r>
        <w:rPr>
          <w:rFonts w:hint="eastAsia" w:ascii="仿宋" w:hAnsi="仿宋" w:eastAsia="仿宋" w:cs="仿宋"/>
          <w:szCs w:val="32"/>
        </w:rPr>
        <w:t>，</w:t>
      </w:r>
      <w:r>
        <w:rPr>
          <w:rFonts w:hint="eastAsia" w:ascii="仿宋_GB2312" w:hAnsi="仿宋" w:cs="仿宋"/>
          <w:szCs w:val="32"/>
        </w:rPr>
        <w:t>涉及资金</w:t>
      </w:r>
      <w:r>
        <w:rPr>
          <w:rFonts w:hint="eastAsia"/>
          <w:color w:val="000000"/>
          <w:szCs w:val="22"/>
        </w:rPr>
        <w:t>19.31</w:t>
      </w:r>
      <w:r>
        <w:rPr>
          <w:rFonts w:hint="eastAsia" w:ascii="仿宋_GB2312" w:hAnsi="仿宋" w:cs="仿宋"/>
          <w:szCs w:val="32"/>
        </w:rPr>
        <w:t>亿元，部门（单位）整体支出绩效目标管理和项目支出绩效目标管理覆盖面</w:t>
      </w:r>
      <w:r>
        <w:rPr>
          <w:rFonts w:hint="eastAsia" w:ascii="仿宋" w:hAnsi="仿宋" w:eastAsia="仿宋" w:cs="仿宋"/>
          <w:szCs w:val="32"/>
        </w:rPr>
        <w:t>达</w:t>
      </w:r>
      <w:r>
        <w:rPr>
          <w:rFonts w:hint="eastAsia"/>
          <w:color w:val="000000"/>
          <w:szCs w:val="22"/>
        </w:rPr>
        <w:t>100%</w:t>
      </w:r>
      <w:r>
        <w:rPr>
          <w:rFonts w:hint="eastAsia" w:ascii="仿宋" w:hAnsi="仿宋" w:eastAsia="仿宋" w:cs="仿宋"/>
          <w:szCs w:val="32"/>
        </w:rPr>
        <w:t>。</w:t>
      </w:r>
      <w:r>
        <w:rPr>
          <w:rFonts w:hint="eastAsia" w:ascii="仿宋_GB2312" w:hAnsi="仿宋" w:cs="仿宋"/>
          <w:color w:val="FF0000"/>
          <w:szCs w:val="32"/>
        </w:rPr>
        <w:t>崇信县</w:t>
      </w:r>
      <w:r>
        <w:rPr>
          <w:rFonts w:hint="eastAsia" w:ascii="仿宋_GB2312" w:hAnsi="仿宋_GB2312" w:cs="仿宋_GB2312"/>
          <w:kern w:val="32"/>
          <w:szCs w:val="32"/>
        </w:rPr>
        <w:t>按照“谁申请资金、谁设定目标”的原则，年初预算时，部门和单位根据预算报告科学设置绩效目标，向县财政局及时申报，县局认真审核绩效目标，下达预算绩效目标批复，与预算同步公开，接受社会监督。</w:t>
      </w:r>
      <w:r>
        <w:rPr>
          <w:rFonts w:hint="eastAsia" w:ascii="仿宋_GB2312" w:hAnsi="仿宋_GB2312" w:cs="仿宋_GB2312"/>
          <w:color w:val="FF0000"/>
          <w:kern w:val="32"/>
          <w:szCs w:val="32"/>
        </w:rPr>
        <w:t>庄浪县</w:t>
      </w:r>
      <w:r>
        <w:rPr>
          <w:rStyle w:val="13"/>
          <w:rFonts w:ascii="仿宋_GB2312"/>
          <w:szCs w:val="32"/>
        </w:rPr>
        <w:t>全县共有</w:t>
      </w:r>
      <w:r>
        <w:rPr>
          <w:color w:val="000000"/>
          <w:szCs w:val="22"/>
        </w:rPr>
        <w:t>184</w:t>
      </w:r>
      <w:r>
        <w:rPr>
          <w:rStyle w:val="13"/>
          <w:rFonts w:ascii="仿宋_GB2312"/>
          <w:szCs w:val="32"/>
        </w:rPr>
        <w:t>个单位纳入了绩效目标管理，填报部门整体支出绩效目标</w:t>
      </w:r>
      <w:r>
        <w:rPr>
          <w:color w:val="000000"/>
          <w:szCs w:val="22"/>
        </w:rPr>
        <w:t>184</w:t>
      </w:r>
      <w:r>
        <w:rPr>
          <w:rStyle w:val="13"/>
          <w:rFonts w:ascii="仿宋_GB2312"/>
          <w:szCs w:val="32"/>
        </w:rPr>
        <w:t>个，项目支出绩效目标</w:t>
      </w:r>
      <w:r>
        <w:rPr>
          <w:color w:val="000000"/>
          <w:szCs w:val="22"/>
        </w:rPr>
        <w:t>148</w:t>
      </w:r>
      <w:r>
        <w:rPr>
          <w:rStyle w:val="13"/>
          <w:rFonts w:ascii="仿宋_GB2312"/>
          <w:szCs w:val="32"/>
        </w:rPr>
        <w:t>个，涉及资金</w:t>
      </w:r>
      <w:r>
        <w:rPr>
          <w:color w:val="000000"/>
          <w:szCs w:val="22"/>
        </w:rPr>
        <w:t>346236.11</w:t>
      </w:r>
      <w:r>
        <w:rPr>
          <w:rStyle w:val="13"/>
          <w:rFonts w:ascii="仿宋_GB2312"/>
          <w:szCs w:val="32"/>
        </w:rPr>
        <w:t>万元（其中，项目支出</w:t>
      </w:r>
      <w:r>
        <w:rPr>
          <w:color w:val="000000"/>
          <w:szCs w:val="22"/>
        </w:rPr>
        <w:t>68820.09</w:t>
      </w:r>
      <w:r>
        <w:rPr>
          <w:rStyle w:val="13"/>
          <w:rFonts w:ascii="仿宋_GB2312"/>
          <w:szCs w:val="32"/>
        </w:rPr>
        <w:t>万元）。</w:t>
      </w:r>
      <w:r>
        <w:rPr>
          <w:rStyle w:val="13"/>
          <w:rFonts w:hint="eastAsia" w:ascii="仿宋_GB2312"/>
          <w:color w:val="FF0000"/>
          <w:szCs w:val="32"/>
        </w:rPr>
        <w:t>泾川县</w:t>
      </w:r>
      <w:r>
        <w:rPr>
          <w:rFonts w:hint="eastAsia" w:ascii="仿宋_GB2312"/>
          <w:szCs w:val="32"/>
        </w:rPr>
        <w:t>把预算绩效目标的编制纳入了年初预算编制体系，全面推进项目绩效目标编报工作。</w:t>
      </w:r>
    </w:p>
    <w:p>
      <w:pPr>
        <w:spacing w:line="579" w:lineRule="exact"/>
        <w:ind w:firstLine="351" w:firstLineChars="100"/>
        <w:rPr>
          <w:snapToGrid w:val="0"/>
        </w:rPr>
      </w:pPr>
      <w:r>
        <w:rPr>
          <w:rFonts w:hint="eastAsia" w:eastAsia="楷体_GB2312"/>
          <w:b/>
          <w:bCs/>
          <w:color w:val="000000"/>
          <w:spacing w:val="15"/>
          <w:kern w:val="0"/>
          <w:szCs w:val="32"/>
        </w:rPr>
        <w:t xml:space="preserve"> (四)切实履行职责，全面开展单位自评。</w:t>
      </w:r>
      <w:r>
        <w:rPr>
          <w:rFonts w:hint="eastAsia"/>
        </w:rPr>
        <w:t>市本级</w:t>
      </w:r>
      <w:r>
        <w:rPr>
          <w:snapToGrid w:val="0"/>
          <w:szCs w:val="32"/>
        </w:rPr>
        <w:t>在6月份和9月份，督促各支出科室，切实履行职责，及时跟踪各预算单位扎实开展单位自评工作，实现了177个预算单位自评全覆盖。</w:t>
      </w:r>
      <w:r>
        <w:rPr>
          <w:rFonts w:hint="eastAsia"/>
          <w:color w:val="FF0000"/>
          <w:szCs w:val="22"/>
        </w:rPr>
        <w:t>园区</w:t>
      </w:r>
      <w:r>
        <w:rPr>
          <w:rFonts w:hint="eastAsia"/>
          <w:snapToGrid w:val="0"/>
          <w:szCs w:val="32"/>
        </w:rPr>
        <w:t>本级财政项目支出自评项目5个、涉及资金866万元；上级转移支付自评覆盖率100%，涉及资金4094万元；财政重点项目自评10个，涉及资金30650万元。</w:t>
      </w:r>
      <w:r>
        <w:rPr>
          <w:rFonts w:hint="eastAsia"/>
          <w:color w:val="FF0000"/>
          <w:szCs w:val="22"/>
        </w:rPr>
        <w:t>华亭市</w:t>
      </w:r>
      <w:r>
        <w:rPr>
          <w:rFonts w:hint="eastAsia"/>
          <w:snapToGrid w:val="0"/>
          <w:szCs w:val="32"/>
        </w:rPr>
        <w:t>对</w:t>
      </w:r>
      <w:r>
        <w:rPr>
          <w:rFonts w:hint="eastAsia"/>
          <w:szCs w:val="32"/>
        </w:rPr>
        <w:t>42</w:t>
      </w:r>
      <w:r>
        <w:rPr>
          <w:rFonts w:hint="eastAsia"/>
          <w:snapToGrid w:val="0"/>
          <w:szCs w:val="32"/>
        </w:rPr>
        <w:t>个部门（单位）的</w:t>
      </w:r>
      <w:r>
        <w:rPr>
          <w:rFonts w:hint="eastAsia"/>
          <w:szCs w:val="32"/>
        </w:rPr>
        <w:t>91</w:t>
      </w:r>
      <w:r>
        <w:rPr>
          <w:rFonts w:hint="eastAsia"/>
          <w:snapToGrid w:val="0"/>
          <w:szCs w:val="32"/>
        </w:rPr>
        <w:t>个项目开展了单位自评和财政再评价，涉及资金</w:t>
      </w:r>
      <w:r>
        <w:rPr>
          <w:rFonts w:hint="eastAsia"/>
          <w:szCs w:val="32"/>
        </w:rPr>
        <w:t>12934.87</w:t>
      </w:r>
      <w:r>
        <w:rPr>
          <w:rFonts w:hint="eastAsia"/>
          <w:snapToGrid w:val="0"/>
          <w:szCs w:val="32"/>
        </w:rPr>
        <w:t>万元(其中本级预算安排</w:t>
      </w:r>
      <w:r>
        <w:rPr>
          <w:rFonts w:hint="eastAsia"/>
          <w:szCs w:val="32"/>
        </w:rPr>
        <w:t>8068.45</w:t>
      </w:r>
      <w:r>
        <w:rPr>
          <w:rFonts w:hint="eastAsia"/>
          <w:snapToGrid w:val="0"/>
          <w:szCs w:val="32"/>
        </w:rPr>
        <w:t>万元</w:t>
      </w:r>
      <w:r>
        <w:rPr>
          <w:rFonts w:hint="eastAsia" w:ascii="仿宋_GB2312" w:hAnsi="仿宋_GB2312" w:cs="仿宋_GB2312"/>
          <w:szCs w:val="32"/>
        </w:rPr>
        <w:t>）；</w:t>
      </w:r>
      <w:r>
        <w:rPr>
          <w:rFonts w:hint="eastAsia"/>
          <w:color w:val="FF0000"/>
          <w:szCs w:val="32"/>
        </w:rPr>
        <w:t>泾川县</w:t>
      </w:r>
      <w:r>
        <w:rPr>
          <w:rFonts w:hint="eastAsia"/>
          <w:snapToGrid w:val="0"/>
          <w:szCs w:val="32"/>
        </w:rPr>
        <w:t>认真开展项目自评工作。纳入绩效评价的资金共计</w:t>
      </w:r>
      <w:r>
        <w:rPr>
          <w:rFonts w:hint="eastAsia"/>
          <w:color w:val="000000"/>
          <w:szCs w:val="22"/>
        </w:rPr>
        <w:t>126764.64</w:t>
      </w:r>
      <w:r>
        <w:rPr>
          <w:rFonts w:hint="eastAsia" w:ascii="仿宋_GB2312"/>
          <w:szCs w:val="32"/>
        </w:rPr>
        <w:t>万元，</w:t>
      </w:r>
      <w:r>
        <w:rPr>
          <w:rFonts w:hint="eastAsia"/>
          <w:snapToGrid w:val="0"/>
          <w:szCs w:val="32"/>
        </w:rPr>
        <w:t>其中：财政专项扶贫资金</w:t>
      </w:r>
      <w:r>
        <w:rPr>
          <w:rFonts w:hint="eastAsia"/>
          <w:color w:val="000000"/>
          <w:szCs w:val="22"/>
        </w:rPr>
        <w:t>18028.72</w:t>
      </w:r>
      <w:r>
        <w:rPr>
          <w:rFonts w:hint="eastAsia" w:ascii="仿宋_GB2312"/>
          <w:szCs w:val="32"/>
        </w:rPr>
        <w:t>万元，</w:t>
      </w:r>
      <w:r>
        <w:rPr>
          <w:rFonts w:hint="eastAsia"/>
          <w:snapToGrid w:val="0"/>
          <w:szCs w:val="32"/>
        </w:rPr>
        <w:t>东西部协作资金</w:t>
      </w:r>
      <w:r>
        <w:rPr>
          <w:rFonts w:hint="eastAsia"/>
          <w:color w:val="000000"/>
          <w:szCs w:val="22"/>
        </w:rPr>
        <w:t>3609</w:t>
      </w:r>
      <w:r>
        <w:rPr>
          <w:rFonts w:hint="eastAsia" w:ascii="仿宋_GB2312"/>
          <w:szCs w:val="32"/>
        </w:rPr>
        <w:t>万元，</w:t>
      </w:r>
      <w:r>
        <w:rPr>
          <w:rFonts w:hint="eastAsia"/>
          <w:snapToGrid w:val="0"/>
          <w:szCs w:val="32"/>
        </w:rPr>
        <w:t>统筹整合资金</w:t>
      </w:r>
      <w:r>
        <w:rPr>
          <w:rFonts w:hint="eastAsia"/>
          <w:color w:val="000000"/>
          <w:szCs w:val="22"/>
        </w:rPr>
        <w:t>5098.12</w:t>
      </w:r>
      <w:r>
        <w:rPr>
          <w:rFonts w:hint="eastAsia" w:ascii="仿宋_GB2312"/>
          <w:szCs w:val="32"/>
        </w:rPr>
        <w:t>万元，</w:t>
      </w:r>
      <w:r>
        <w:rPr>
          <w:rFonts w:hint="eastAsia"/>
          <w:snapToGrid w:val="0"/>
          <w:szCs w:val="32"/>
        </w:rPr>
        <w:t>生态功能区转移支付资金</w:t>
      </w:r>
      <w:r>
        <w:rPr>
          <w:rFonts w:hint="eastAsia"/>
          <w:color w:val="000000"/>
          <w:szCs w:val="22"/>
        </w:rPr>
        <w:t>4714</w:t>
      </w:r>
      <w:r>
        <w:rPr>
          <w:rFonts w:hint="eastAsia"/>
          <w:snapToGrid w:val="0"/>
          <w:szCs w:val="32"/>
        </w:rPr>
        <w:t>万元，保障房建设资金</w:t>
      </w:r>
      <w:r>
        <w:rPr>
          <w:rFonts w:hint="eastAsia"/>
          <w:color w:val="000000"/>
          <w:szCs w:val="22"/>
        </w:rPr>
        <w:t>9977</w:t>
      </w:r>
      <w:r>
        <w:rPr>
          <w:rFonts w:hint="eastAsia" w:ascii="仿宋_GB2312"/>
          <w:szCs w:val="32"/>
        </w:rPr>
        <w:t>万元，</w:t>
      </w:r>
      <w:r>
        <w:rPr>
          <w:rFonts w:hint="eastAsia"/>
          <w:snapToGrid w:val="0"/>
          <w:szCs w:val="32"/>
        </w:rPr>
        <w:t>公共文化资金</w:t>
      </w:r>
      <w:r>
        <w:rPr>
          <w:rFonts w:hint="eastAsia"/>
          <w:color w:val="000000"/>
          <w:szCs w:val="22"/>
        </w:rPr>
        <w:t>205</w:t>
      </w:r>
      <w:r>
        <w:rPr>
          <w:rFonts w:hint="eastAsia" w:ascii="仿宋_GB2312"/>
          <w:szCs w:val="32"/>
        </w:rPr>
        <w:t>万元，</w:t>
      </w:r>
      <w:r>
        <w:rPr>
          <w:rFonts w:hint="eastAsia"/>
          <w:snapToGrid w:val="0"/>
          <w:szCs w:val="32"/>
        </w:rPr>
        <w:t>债券资金</w:t>
      </w:r>
      <w:r>
        <w:rPr>
          <w:rFonts w:hint="eastAsia"/>
          <w:color w:val="000000"/>
          <w:szCs w:val="22"/>
        </w:rPr>
        <w:t>17076</w:t>
      </w:r>
      <w:r>
        <w:rPr>
          <w:rFonts w:hint="eastAsia" w:ascii="仿宋_GB2312"/>
          <w:szCs w:val="32"/>
        </w:rPr>
        <w:t>万元，</w:t>
      </w:r>
      <w:r>
        <w:rPr>
          <w:rFonts w:hint="eastAsia"/>
          <w:snapToGrid w:val="0"/>
          <w:szCs w:val="32"/>
        </w:rPr>
        <w:t>抗疫国债资金</w:t>
      </w:r>
      <w:r>
        <w:rPr>
          <w:rFonts w:hint="eastAsia"/>
          <w:color w:val="000000"/>
          <w:szCs w:val="22"/>
        </w:rPr>
        <w:t>7210</w:t>
      </w:r>
      <w:r>
        <w:rPr>
          <w:rFonts w:hint="eastAsia" w:ascii="仿宋_GB2312"/>
          <w:szCs w:val="32"/>
        </w:rPr>
        <w:t>万元，</w:t>
      </w:r>
      <w:r>
        <w:rPr>
          <w:rFonts w:hint="eastAsia"/>
          <w:snapToGrid w:val="0"/>
          <w:szCs w:val="32"/>
        </w:rPr>
        <w:t>其他项目资金</w:t>
      </w:r>
      <w:r>
        <w:rPr>
          <w:rFonts w:hint="eastAsia"/>
          <w:color w:val="000000"/>
          <w:szCs w:val="22"/>
        </w:rPr>
        <w:t>545830.8</w:t>
      </w:r>
      <w:r>
        <w:rPr>
          <w:rFonts w:hint="eastAsia"/>
          <w:snapToGrid w:val="0"/>
          <w:szCs w:val="32"/>
        </w:rPr>
        <w:t>万元，县本级专项资金</w:t>
      </w:r>
      <w:r>
        <w:rPr>
          <w:rFonts w:hint="eastAsia"/>
          <w:color w:val="000000"/>
          <w:szCs w:val="22"/>
        </w:rPr>
        <w:t>6263.72</w:t>
      </w:r>
      <w:r>
        <w:rPr>
          <w:rFonts w:hint="eastAsia"/>
          <w:snapToGrid w:val="0"/>
          <w:szCs w:val="32"/>
        </w:rPr>
        <w:t>万元。</w:t>
      </w:r>
    </w:p>
    <w:p>
      <w:pPr>
        <w:spacing w:line="579" w:lineRule="exact"/>
        <w:ind w:firstLine="527" w:firstLineChars="150"/>
        <w:rPr>
          <w:szCs w:val="32"/>
        </w:rPr>
      </w:pPr>
      <w:r>
        <w:rPr>
          <w:rFonts w:eastAsia="楷体_GB2312"/>
          <w:b/>
          <w:bCs/>
          <w:color w:val="000000"/>
          <w:spacing w:val="15"/>
          <w:kern w:val="0"/>
          <w:szCs w:val="32"/>
        </w:rPr>
        <w:t>(</w:t>
      </w:r>
      <w:r>
        <w:rPr>
          <w:rFonts w:hint="eastAsia" w:eastAsia="楷体_GB2312"/>
          <w:b/>
          <w:bCs/>
          <w:color w:val="000000"/>
          <w:spacing w:val="15"/>
          <w:kern w:val="0"/>
          <w:szCs w:val="32"/>
        </w:rPr>
        <w:t>五</w:t>
      </w:r>
      <w:r>
        <w:rPr>
          <w:rFonts w:eastAsia="楷体_GB2312"/>
          <w:b/>
          <w:bCs/>
          <w:color w:val="000000"/>
          <w:spacing w:val="15"/>
          <w:kern w:val="0"/>
          <w:szCs w:val="32"/>
        </w:rPr>
        <w:t>) 聚焦重</w:t>
      </w:r>
      <w:r>
        <w:rPr>
          <w:rFonts w:hint="eastAsia" w:eastAsia="楷体_GB2312"/>
          <w:b/>
          <w:bCs/>
          <w:color w:val="000000"/>
          <w:spacing w:val="15"/>
          <w:kern w:val="0"/>
          <w:szCs w:val="32"/>
        </w:rPr>
        <w:t>大</w:t>
      </w:r>
      <w:r>
        <w:rPr>
          <w:rFonts w:eastAsia="楷体_GB2312"/>
          <w:b/>
          <w:bCs/>
          <w:color w:val="000000"/>
          <w:spacing w:val="15"/>
          <w:kern w:val="0"/>
          <w:szCs w:val="32"/>
        </w:rPr>
        <w:t>项目，开展</w:t>
      </w:r>
      <w:r>
        <w:rPr>
          <w:rFonts w:hint="eastAsia" w:eastAsia="楷体_GB2312"/>
          <w:b/>
          <w:bCs/>
          <w:color w:val="000000"/>
          <w:spacing w:val="15"/>
          <w:kern w:val="0"/>
          <w:szCs w:val="32"/>
        </w:rPr>
        <w:t>财政重点</w:t>
      </w:r>
      <w:r>
        <w:rPr>
          <w:rFonts w:eastAsia="楷体_GB2312"/>
          <w:b/>
          <w:bCs/>
          <w:color w:val="000000"/>
          <w:spacing w:val="15"/>
          <w:kern w:val="0"/>
          <w:szCs w:val="32"/>
        </w:rPr>
        <w:t>评价</w:t>
      </w:r>
      <w:r>
        <w:rPr>
          <w:rFonts w:hint="eastAsia" w:eastAsia="楷体_GB2312"/>
          <w:b/>
          <w:bCs/>
          <w:color w:val="000000"/>
          <w:spacing w:val="15"/>
          <w:kern w:val="0"/>
          <w:szCs w:val="32"/>
        </w:rPr>
        <w:t>。</w:t>
      </w:r>
      <w:r>
        <w:rPr>
          <w:rFonts w:hint="eastAsia"/>
          <w:snapToGrid w:val="0"/>
          <w:szCs w:val="32"/>
        </w:rPr>
        <w:t>市本级</w:t>
      </w:r>
      <w:r>
        <w:rPr>
          <w:szCs w:val="32"/>
        </w:rPr>
        <w:t>按照“资金量较大、代表性较强、社会关注度高”的原则，从本级预算中选择</w:t>
      </w:r>
      <w:r>
        <w:rPr>
          <w:rFonts w:hint="eastAsia"/>
          <w:szCs w:val="32"/>
        </w:rPr>
        <w:t>了</w:t>
      </w:r>
      <w:r>
        <w:rPr>
          <w:szCs w:val="32"/>
        </w:rPr>
        <w:t>中心城市新民北路道路工程、战备桥南北两侧匝道建设工程等1</w:t>
      </w:r>
      <w:r>
        <w:rPr>
          <w:rFonts w:hint="eastAsia"/>
          <w:szCs w:val="32"/>
        </w:rPr>
        <w:t>5</w:t>
      </w:r>
      <w:r>
        <w:rPr>
          <w:szCs w:val="32"/>
        </w:rPr>
        <w:t>个社会关注度高、资金投入量大的项目开展财政重点评价</w:t>
      </w:r>
      <w:r>
        <w:rPr>
          <w:rFonts w:hint="eastAsia"/>
          <w:szCs w:val="32"/>
        </w:rPr>
        <w:t>，</w:t>
      </w:r>
      <w:r>
        <w:rPr>
          <w:szCs w:val="32"/>
        </w:rPr>
        <w:t>财政重点支出绩效评价资金</w:t>
      </w:r>
      <w:r>
        <w:rPr>
          <w:rFonts w:hint="eastAsia"/>
          <w:szCs w:val="32"/>
        </w:rPr>
        <w:t>12302.35</w:t>
      </w:r>
      <w:r>
        <w:rPr>
          <w:szCs w:val="32"/>
        </w:rPr>
        <w:t>万元</w:t>
      </w:r>
      <w:r>
        <w:rPr>
          <w:rFonts w:hint="eastAsia"/>
          <w:szCs w:val="32"/>
        </w:rPr>
        <w:t>。</w:t>
      </w:r>
      <w:r>
        <w:rPr>
          <w:rFonts w:hint="eastAsia" w:ascii="仿宋_GB2312" w:hAnsi="仿宋_GB2312" w:cs="仿宋_GB2312"/>
          <w:color w:val="FF0000"/>
          <w:szCs w:val="32"/>
        </w:rPr>
        <w:t>崆峒区</w:t>
      </w:r>
      <w:r>
        <w:rPr>
          <w:rFonts w:hint="eastAsia"/>
          <w:szCs w:val="32"/>
        </w:rPr>
        <w:t>2020</w:t>
      </w:r>
      <w:r>
        <w:rPr>
          <w:rFonts w:hint="eastAsia" w:ascii="仿宋_GB2312" w:hAnsi="仿宋_GB2312" w:cs="仿宋_GB2312"/>
          <w:color w:val="000000"/>
          <w:szCs w:val="32"/>
        </w:rPr>
        <w:t>年委托第三方评价机构对</w:t>
      </w:r>
      <w:r>
        <w:rPr>
          <w:rFonts w:hint="eastAsia"/>
          <w:szCs w:val="32"/>
        </w:rPr>
        <w:t>2019</w:t>
      </w:r>
      <w:r>
        <w:rPr>
          <w:rFonts w:hint="eastAsia" w:ascii="仿宋_GB2312" w:hAnsi="仿宋_GB2312" w:cs="仿宋_GB2312"/>
          <w:color w:val="000000"/>
          <w:szCs w:val="32"/>
        </w:rPr>
        <w:t>年度的项目进行了绩效评价，共涉及全区</w:t>
      </w:r>
      <w:r>
        <w:rPr>
          <w:rFonts w:hint="eastAsia"/>
          <w:szCs w:val="32"/>
        </w:rPr>
        <w:t>33</w:t>
      </w:r>
      <w:r>
        <w:rPr>
          <w:rFonts w:hint="eastAsia" w:ascii="仿宋_GB2312" w:hAnsi="仿宋_GB2312" w:cs="仿宋_GB2312"/>
          <w:color w:val="000000"/>
          <w:szCs w:val="32"/>
        </w:rPr>
        <w:t>个部门</w:t>
      </w:r>
      <w:r>
        <w:rPr>
          <w:rFonts w:hint="eastAsia"/>
          <w:szCs w:val="32"/>
        </w:rPr>
        <w:t>17</w:t>
      </w:r>
      <w:r>
        <w:rPr>
          <w:rFonts w:hint="eastAsia" w:ascii="仿宋_GB2312" w:hAnsi="仿宋_GB2312" w:cs="仿宋_GB2312"/>
          <w:color w:val="000000"/>
          <w:szCs w:val="32"/>
        </w:rPr>
        <w:t>个乡镇</w:t>
      </w:r>
      <w:r>
        <w:rPr>
          <w:rFonts w:hint="eastAsia"/>
          <w:szCs w:val="32"/>
        </w:rPr>
        <w:t>177</w:t>
      </w:r>
      <w:r>
        <w:rPr>
          <w:rFonts w:hint="eastAsia" w:ascii="仿宋_GB2312" w:hAnsi="仿宋_GB2312" w:cs="仿宋_GB2312"/>
          <w:color w:val="000000"/>
          <w:szCs w:val="32"/>
        </w:rPr>
        <w:t>项专项资金</w:t>
      </w:r>
      <w:r>
        <w:rPr>
          <w:rFonts w:hint="eastAsia"/>
          <w:szCs w:val="32"/>
        </w:rPr>
        <w:t>19.38</w:t>
      </w:r>
      <w:r>
        <w:rPr>
          <w:rFonts w:hint="eastAsia" w:ascii="仿宋_GB2312" w:hAnsi="仿宋_GB2312" w:cs="仿宋_GB2312"/>
          <w:color w:val="000000"/>
          <w:szCs w:val="32"/>
        </w:rPr>
        <w:t>亿元，涵盖了经济建设、农业、社会保障、民生项目等各个领域。</w:t>
      </w:r>
      <w:r>
        <w:rPr>
          <w:rFonts w:hint="eastAsia"/>
          <w:color w:val="FF0000"/>
          <w:szCs w:val="22"/>
        </w:rPr>
        <w:t>华亭市</w:t>
      </w:r>
      <w:r>
        <w:rPr>
          <w:rFonts w:hint="eastAsia" w:ascii="仿宋_GB2312" w:hAnsi="仿宋_GB2312" w:cs="仿宋_GB2312"/>
          <w:szCs w:val="32"/>
        </w:rPr>
        <w:t>聘请第三方中介机构对</w:t>
      </w:r>
      <w:r>
        <w:rPr>
          <w:rFonts w:hint="eastAsia"/>
          <w:szCs w:val="32"/>
        </w:rPr>
        <w:t>19</w:t>
      </w:r>
      <w:r>
        <w:rPr>
          <w:rFonts w:hint="eastAsia" w:ascii="仿宋_GB2312" w:hAnsi="仿宋_GB2312" w:cs="仿宋_GB2312"/>
          <w:szCs w:val="32"/>
        </w:rPr>
        <w:t>个部门使用财政扶贫资金的</w:t>
      </w:r>
      <w:r>
        <w:rPr>
          <w:rFonts w:hint="eastAsia"/>
          <w:szCs w:val="32"/>
        </w:rPr>
        <w:t>78</w:t>
      </w:r>
      <w:r>
        <w:rPr>
          <w:rFonts w:hint="eastAsia" w:ascii="仿宋_GB2312" w:hAnsi="仿宋_GB2312" w:cs="仿宋_GB2312"/>
          <w:szCs w:val="32"/>
        </w:rPr>
        <w:t>个项目开展了绩效评价，涉及资金</w:t>
      </w:r>
      <w:r>
        <w:rPr>
          <w:rFonts w:hint="eastAsia"/>
          <w:szCs w:val="32"/>
        </w:rPr>
        <w:t>13368.8</w:t>
      </w:r>
      <w:r>
        <w:rPr>
          <w:rFonts w:hint="eastAsia" w:ascii="仿宋_GB2312" w:hAnsi="仿宋_GB2312" w:cs="仿宋_GB2312"/>
          <w:szCs w:val="32"/>
        </w:rPr>
        <w:t>万元。</w:t>
      </w:r>
      <w:r>
        <w:rPr>
          <w:rFonts w:hint="eastAsia" w:ascii="仿宋" w:hAnsi="仿宋" w:eastAsia="仿宋" w:cs="仿宋"/>
          <w:color w:val="FF0000"/>
          <w:szCs w:val="32"/>
        </w:rPr>
        <w:t>灵台县</w:t>
      </w:r>
      <w:r>
        <w:rPr>
          <w:rFonts w:hint="eastAsia"/>
          <w:color w:val="000000"/>
        </w:rPr>
        <w:t>从</w:t>
      </w:r>
      <w:r>
        <w:rPr>
          <w:color w:val="000000"/>
        </w:rPr>
        <w:t>关乎民生、社会关注度高、影响大、具有明显经济和社会效益的项目</w:t>
      </w:r>
      <w:r>
        <w:rPr>
          <w:rFonts w:hint="eastAsia"/>
          <w:color w:val="000000"/>
        </w:rPr>
        <w:t>中有针对性的选取</w:t>
      </w:r>
      <w:r>
        <w:rPr>
          <w:rFonts w:hint="eastAsia"/>
          <w:color w:val="000000"/>
          <w:szCs w:val="22"/>
        </w:rPr>
        <w:t>财政扶贫项目开展了重点绩效评价，重点绩效评价涉及</w:t>
      </w:r>
      <w:r>
        <w:rPr>
          <w:rFonts w:hint="eastAsia"/>
          <w:szCs w:val="32"/>
        </w:rPr>
        <w:t>16</w:t>
      </w:r>
      <w:r>
        <w:rPr>
          <w:rFonts w:hint="eastAsia"/>
          <w:color w:val="000000"/>
          <w:szCs w:val="22"/>
        </w:rPr>
        <w:t>类项目，财政资金2.36亿元。</w:t>
      </w:r>
      <w:r>
        <w:rPr>
          <w:rFonts w:hint="eastAsia" w:ascii="仿宋_GB2312" w:hAnsi="仿宋_GB2312" w:cs="仿宋_GB2312"/>
          <w:bCs/>
          <w:color w:val="FF0000"/>
          <w:szCs w:val="32"/>
        </w:rPr>
        <w:t>庄浪县</w:t>
      </w:r>
      <w:r>
        <w:rPr>
          <w:rStyle w:val="13"/>
          <w:rFonts w:hint="eastAsia" w:ascii="仿宋_GB2312"/>
          <w:szCs w:val="32"/>
        </w:rPr>
        <w:t>对</w:t>
      </w:r>
      <w:r>
        <w:rPr>
          <w:rStyle w:val="13"/>
          <w:rFonts w:ascii="仿宋_GB2312"/>
          <w:szCs w:val="32"/>
        </w:rPr>
        <w:t>公安局智慧城市</w:t>
      </w:r>
      <w:r>
        <w:rPr>
          <w:rStyle w:val="13"/>
          <w:rFonts w:hint="eastAsia" w:ascii="仿宋_GB2312"/>
          <w:szCs w:val="32"/>
        </w:rPr>
        <w:t>等</w:t>
      </w:r>
      <w:r>
        <w:rPr>
          <w:color w:val="000000"/>
          <w:szCs w:val="22"/>
        </w:rPr>
        <w:t>5</w:t>
      </w:r>
      <w:r>
        <w:rPr>
          <w:rStyle w:val="13"/>
          <w:rFonts w:ascii="仿宋_GB2312"/>
          <w:szCs w:val="32"/>
        </w:rPr>
        <w:t>个项目深入开展重点绩效评价</w:t>
      </w:r>
      <w:r>
        <w:rPr>
          <w:rStyle w:val="13"/>
          <w:rFonts w:hint="eastAsia" w:ascii="仿宋_GB2312"/>
          <w:szCs w:val="32"/>
        </w:rPr>
        <w:t>，涉及资金</w:t>
      </w:r>
      <w:r>
        <w:rPr>
          <w:color w:val="000000"/>
          <w:szCs w:val="22"/>
        </w:rPr>
        <w:t>31996.65</w:t>
      </w:r>
      <w:r>
        <w:rPr>
          <w:rStyle w:val="13"/>
          <w:rFonts w:ascii="仿宋_GB2312"/>
          <w:szCs w:val="32"/>
        </w:rPr>
        <w:t>万元。</w:t>
      </w:r>
      <w:r>
        <w:rPr>
          <w:rStyle w:val="13"/>
          <w:rFonts w:hint="eastAsia" w:ascii="仿宋_GB2312"/>
          <w:color w:val="FF0000"/>
          <w:szCs w:val="32"/>
        </w:rPr>
        <w:t>静宁县</w:t>
      </w:r>
      <w:r>
        <w:rPr>
          <w:rFonts w:hint="eastAsia" w:ascii="仿宋_GB2312"/>
          <w:szCs w:val="32"/>
        </w:rPr>
        <w:t>聘请第三方评价机构对农村安全饮水等项目实施了重点评价，涉及资金</w:t>
      </w:r>
      <w:r>
        <w:rPr>
          <w:rFonts w:hint="eastAsia"/>
          <w:color w:val="000000"/>
          <w:szCs w:val="22"/>
        </w:rPr>
        <w:t>64323</w:t>
      </w:r>
      <w:r>
        <w:rPr>
          <w:rFonts w:hint="eastAsia" w:ascii="仿宋_GB2312"/>
          <w:szCs w:val="32"/>
        </w:rPr>
        <w:t>万元</w:t>
      </w:r>
      <w:r>
        <w:rPr>
          <w:rFonts w:hint="eastAsia" w:ascii="仿宋_GB2312" w:hAnsi="仿宋_GB2312" w:cs="仿宋_GB2312"/>
          <w:szCs w:val="32"/>
        </w:rPr>
        <w:t>。</w:t>
      </w:r>
      <w:r>
        <w:rPr>
          <w:rFonts w:hint="eastAsia" w:hAnsi="仿宋_GB2312" w:cs="仿宋_GB2312"/>
          <w:bCs/>
          <w:color w:val="FF0000"/>
          <w:szCs w:val="32"/>
        </w:rPr>
        <w:t>崇信县</w:t>
      </w:r>
      <w:r>
        <w:rPr>
          <w:rFonts w:hint="eastAsia" w:hAnsi="仿宋_GB2312" w:cs="仿宋_GB2312"/>
          <w:bCs/>
          <w:szCs w:val="32"/>
        </w:rPr>
        <w:t>聘请第三方机构对</w:t>
      </w:r>
      <w:r>
        <w:rPr>
          <w:rFonts w:hint="eastAsia"/>
          <w:szCs w:val="32"/>
        </w:rPr>
        <w:t>2020</w:t>
      </w:r>
      <w:r>
        <w:rPr>
          <w:rFonts w:hint="eastAsia" w:hAnsi="仿宋_GB2312" w:cs="仿宋_GB2312"/>
          <w:bCs/>
          <w:szCs w:val="32"/>
        </w:rPr>
        <w:t>年国家重点生态功能区转移支付资金的资金管理使用情况进行了专项评价，评价</w:t>
      </w:r>
      <w:r>
        <w:rPr>
          <w:rFonts w:hint="eastAsia" w:ascii="仿宋_GB2312" w:hAnsi="仿宋_GB2312" w:cs="仿宋_GB2312"/>
          <w:bCs/>
          <w:szCs w:val="32"/>
        </w:rPr>
        <w:t>资金</w:t>
      </w:r>
      <w:r>
        <w:rPr>
          <w:rFonts w:hint="eastAsia"/>
          <w:szCs w:val="32"/>
        </w:rPr>
        <w:t>2919</w:t>
      </w:r>
      <w:r>
        <w:rPr>
          <w:rFonts w:hint="eastAsia" w:ascii="仿宋_GB2312" w:hAnsi="仿宋_GB2312" w:cs="仿宋_GB2312"/>
          <w:bCs/>
          <w:szCs w:val="32"/>
        </w:rPr>
        <w:t>万元，涉及县生态环境局等</w:t>
      </w:r>
      <w:r>
        <w:rPr>
          <w:rFonts w:hint="eastAsia"/>
          <w:szCs w:val="32"/>
        </w:rPr>
        <w:t>16</w:t>
      </w:r>
      <w:r>
        <w:rPr>
          <w:rFonts w:hint="eastAsia" w:ascii="仿宋_GB2312" w:hAnsi="仿宋_GB2312" w:cs="仿宋_GB2312"/>
          <w:bCs/>
          <w:szCs w:val="32"/>
        </w:rPr>
        <w:t>家单位</w:t>
      </w:r>
      <w:r>
        <w:rPr>
          <w:rFonts w:hint="eastAsia"/>
          <w:szCs w:val="32"/>
        </w:rPr>
        <w:t>25</w:t>
      </w:r>
      <w:r>
        <w:rPr>
          <w:rFonts w:hint="eastAsia" w:ascii="仿宋_GB2312" w:hAnsi="仿宋_GB2312" w:cs="仿宋_GB2312"/>
          <w:bCs/>
          <w:szCs w:val="32"/>
        </w:rPr>
        <w:t>个具体项目。</w:t>
      </w:r>
    </w:p>
    <w:p>
      <w:pPr>
        <w:spacing w:line="579" w:lineRule="exact"/>
        <w:ind w:firstLine="527" w:firstLineChars="150"/>
        <w:rPr>
          <w:rStyle w:val="13"/>
          <w:rFonts w:ascii="仿宋_GB2312" w:hAnsi="黑体"/>
          <w:color w:val="FF0000"/>
          <w:szCs w:val="32"/>
        </w:rPr>
      </w:pPr>
      <w:r>
        <w:rPr>
          <w:rFonts w:hint="eastAsia" w:eastAsia="楷体_GB2312"/>
          <w:b/>
          <w:bCs/>
          <w:color w:val="000000"/>
          <w:spacing w:val="15"/>
          <w:kern w:val="0"/>
          <w:szCs w:val="32"/>
        </w:rPr>
        <w:t>（六）合理设置指标，稳步推进部门整体评价。</w:t>
      </w:r>
      <w:r>
        <w:rPr>
          <w:rFonts w:hint="eastAsia"/>
          <w:szCs w:val="32"/>
        </w:rPr>
        <w:t>2020年，市本级</w:t>
      </w:r>
      <w:r>
        <w:rPr>
          <w:szCs w:val="32"/>
        </w:rPr>
        <w:t>重点选取了市科技局、市国资委稳步推进部门整体支出绩效管理全覆盖，</w:t>
      </w:r>
      <w:r>
        <w:rPr>
          <w:rFonts w:hint="eastAsia"/>
          <w:szCs w:val="32"/>
        </w:rPr>
        <w:t>评价资金为706.01万元，</w:t>
      </w:r>
      <w:r>
        <w:rPr>
          <w:szCs w:val="32"/>
        </w:rPr>
        <w:t>为全面开展部门</w:t>
      </w:r>
      <w:r>
        <w:rPr>
          <w:rFonts w:hint="eastAsia"/>
          <w:szCs w:val="32"/>
        </w:rPr>
        <w:t>整体</w:t>
      </w:r>
      <w:r>
        <w:rPr>
          <w:szCs w:val="32"/>
        </w:rPr>
        <w:t>评价积累</w:t>
      </w:r>
      <w:r>
        <w:rPr>
          <w:rFonts w:hint="eastAsia"/>
          <w:szCs w:val="32"/>
        </w:rPr>
        <w:t>了</w:t>
      </w:r>
      <w:r>
        <w:rPr>
          <w:szCs w:val="32"/>
        </w:rPr>
        <w:t>一些经验和可推广的做法。</w:t>
      </w:r>
      <w:r>
        <w:rPr>
          <w:rFonts w:hint="eastAsia" w:ascii="仿宋_GB2312" w:hAnsi="仿宋_GB2312" w:cs="仿宋_GB2312"/>
          <w:bCs/>
          <w:color w:val="FF0000"/>
          <w:szCs w:val="32"/>
        </w:rPr>
        <w:t>庄浪县</w:t>
      </w:r>
      <w:r>
        <w:rPr>
          <w:rStyle w:val="13"/>
          <w:rFonts w:ascii="仿宋_GB2312"/>
          <w:szCs w:val="32"/>
        </w:rPr>
        <w:t>聘请第三方机构对盘安镇</w:t>
      </w:r>
      <w:r>
        <w:rPr>
          <w:rStyle w:val="13"/>
          <w:rFonts w:hint="eastAsia" w:ascii="仿宋_GB2312"/>
          <w:szCs w:val="32"/>
        </w:rPr>
        <w:t>等</w:t>
      </w:r>
      <w:r>
        <w:rPr>
          <w:szCs w:val="32"/>
        </w:rPr>
        <w:t>5</w:t>
      </w:r>
      <w:r>
        <w:rPr>
          <w:rStyle w:val="13"/>
          <w:rFonts w:ascii="仿宋_GB2312" w:hAnsi="微软雅黑"/>
          <w:color w:val="000000"/>
          <w:kern w:val="0"/>
          <w:szCs w:val="32"/>
        </w:rPr>
        <w:t>个单位的</w:t>
      </w:r>
      <w:r>
        <w:rPr>
          <w:rStyle w:val="13"/>
          <w:rFonts w:ascii="仿宋_GB2312"/>
          <w:szCs w:val="32"/>
        </w:rPr>
        <w:t>部门整体支出</w:t>
      </w:r>
      <w:r>
        <w:rPr>
          <w:rStyle w:val="13"/>
          <w:rFonts w:hint="eastAsia" w:ascii="仿宋_GB2312"/>
          <w:szCs w:val="32"/>
        </w:rPr>
        <w:t>进行评价，涉及资金</w:t>
      </w:r>
      <w:r>
        <w:rPr>
          <w:szCs w:val="32"/>
        </w:rPr>
        <w:t>14358.17</w:t>
      </w:r>
      <w:r>
        <w:rPr>
          <w:rStyle w:val="13"/>
          <w:rFonts w:ascii="仿宋_GB2312"/>
          <w:szCs w:val="32"/>
        </w:rPr>
        <w:t>万元</w:t>
      </w:r>
      <w:r>
        <w:rPr>
          <w:rStyle w:val="13"/>
          <w:rFonts w:hint="eastAsia" w:ascii="仿宋_GB2312"/>
          <w:szCs w:val="32"/>
        </w:rPr>
        <w:t>，稳步推进了部门整体支出绩效评价工作。</w:t>
      </w:r>
      <w:r>
        <w:rPr>
          <w:rStyle w:val="13"/>
          <w:rFonts w:hint="eastAsia" w:ascii="仿宋_GB2312"/>
          <w:color w:val="FF0000"/>
          <w:szCs w:val="32"/>
        </w:rPr>
        <w:t>静宁县</w:t>
      </w:r>
      <w:r>
        <w:rPr>
          <w:rFonts w:hint="eastAsia"/>
          <w:szCs w:val="32"/>
        </w:rPr>
        <w:t>在县直</w:t>
      </w:r>
      <w:r>
        <w:rPr>
          <w:color w:val="000000" w:themeColor="text1"/>
          <w:szCs w:val="32"/>
        </w:rPr>
        <w:t>103</w:t>
      </w:r>
      <w:r>
        <w:rPr>
          <w:rFonts w:hint="eastAsia"/>
          <w:szCs w:val="32"/>
        </w:rPr>
        <w:t>个预算部门中，实施开展绩效评价部门35个，占所有部门总数的34</w:t>
      </w:r>
      <w:r>
        <w:rPr>
          <w:szCs w:val="32"/>
        </w:rPr>
        <w:t>%</w:t>
      </w:r>
      <w:r>
        <w:rPr>
          <w:rFonts w:hint="eastAsia"/>
          <w:szCs w:val="32"/>
        </w:rPr>
        <w:t>。县财政局对县人社局、卫计局等部门</w:t>
      </w:r>
      <w:r>
        <w:rPr>
          <w:szCs w:val="32"/>
        </w:rPr>
        <w:t>开展部门整体支出绩效评价</w:t>
      </w:r>
      <w:r>
        <w:rPr>
          <w:rFonts w:hint="eastAsia"/>
          <w:szCs w:val="32"/>
        </w:rPr>
        <w:t>。</w:t>
      </w:r>
      <w:r>
        <w:rPr>
          <w:szCs w:val="32"/>
        </w:rPr>
        <w:t>重点对单位的人员结构、支出水平、资产管理、实现绩效</w:t>
      </w:r>
      <w:r>
        <w:rPr>
          <w:rFonts w:hint="eastAsia"/>
          <w:szCs w:val="32"/>
        </w:rPr>
        <w:t>等</w:t>
      </w:r>
      <w:r>
        <w:rPr>
          <w:szCs w:val="32"/>
        </w:rPr>
        <w:t>进行摸底评价，</w:t>
      </w:r>
      <w:r>
        <w:rPr>
          <w:rFonts w:hint="eastAsia"/>
          <w:szCs w:val="32"/>
        </w:rPr>
        <w:t>虽然开展部门占比低，却为全面开展部门整体评价积累一些经验和可推广的做法</w:t>
      </w:r>
      <w:r>
        <w:rPr>
          <w:szCs w:val="32"/>
        </w:rPr>
        <w:t>。</w:t>
      </w:r>
    </w:p>
    <w:p>
      <w:pPr>
        <w:spacing w:line="579" w:lineRule="exact"/>
        <w:ind w:firstLine="527" w:firstLineChars="150"/>
        <w:rPr>
          <w:color w:val="555555"/>
          <w:sz w:val="19"/>
        </w:rPr>
      </w:pPr>
      <w:r>
        <w:rPr>
          <w:rFonts w:hint="eastAsia" w:eastAsia="楷体_GB2312"/>
          <w:b/>
          <w:bCs/>
          <w:color w:val="000000"/>
          <w:spacing w:val="15"/>
          <w:kern w:val="0"/>
          <w:szCs w:val="32"/>
        </w:rPr>
        <w:t>（七）加强资金监控，提高财政资金使用效益。</w:t>
      </w:r>
      <w:r>
        <w:rPr>
          <w:rStyle w:val="13"/>
          <w:rFonts w:hint="eastAsia" w:ascii="仿宋_GB2312"/>
          <w:szCs w:val="32"/>
        </w:rPr>
        <w:t>市本级对</w:t>
      </w:r>
      <w:r>
        <w:t>2020</w:t>
      </w:r>
      <w:r>
        <w:rPr>
          <w:rStyle w:val="13"/>
          <w:rFonts w:hint="eastAsia" w:ascii="仿宋_GB2312"/>
          <w:szCs w:val="32"/>
        </w:rPr>
        <w:t>年度所有市级预算单位的一般公共预算、政府基金、国有资本经营预算全部开展事中监控和跟踪问效，重点对绩效目标实现程度和预算执行进度实行“双监控”，主要监控阶段性绩效目标完成情况、产出指标的进展情况，预计经济、社会等效果的实现程度及趋势，分析预算资金拨付和实际支出，督促各支出科室加快支出进度，对发现的问题及</w:t>
      </w:r>
      <w:r>
        <w:rPr>
          <w:snapToGrid w:val="0"/>
          <w:szCs w:val="32"/>
        </w:rPr>
        <w:t>时纠偏，适进调整绩效目标。</w:t>
      </w:r>
      <w:r>
        <w:rPr>
          <w:rFonts w:hint="eastAsia"/>
          <w:snapToGrid w:val="0"/>
          <w:color w:val="FF0000"/>
          <w:szCs w:val="32"/>
        </w:rPr>
        <w:t>华亭市</w:t>
      </w:r>
      <w:r>
        <w:rPr>
          <w:rFonts w:hint="eastAsia" w:ascii="仿宋_GB2312" w:hAnsi="仿宋_GB2312" w:cs="仿宋_GB2312"/>
          <w:szCs w:val="32"/>
        </w:rPr>
        <w:t>对</w:t>
      </w:r>
      <w:r>
        <w:rPr>
          <w:rFonts w:hint="eastAsia"/>
        </w:rPr>
        <w:t>8</w:t>
      </w:r>
      <w:r>
        <w:rPr>
          <w:rFonts w:hint="eastAsia" w:ascii="仿宋_GB2312" w:hAnsi="仿宋_GB2312" w:cs="仿宋_GB2312"/>
          <w:szCs w:val="32"/>
        </w:rPr>
        <w:t>个部门（单位）开展了整体支出监控。对监控评价中发现的问题建立了整改台账，及时反馈预算单位予以纠错纠偏。</w:t>
      </w:r>
      <w:r>
        <w:rPr>
          <w:rFonts w:hint="eastAsia"/>
          <w:snapToGrid w:val="0"/>
          <w:color w:val="FF0000"/>
          <w:szCs w:val="32"/>
        </w:rPr>
        <w:t>崇信县</w:t>
      </w:r>
      <w:r>
        <w:rPr>
          <w:rFonts w:hint="eastAsia" w:ascii="仿宋_GB2312" w:hAnsi="仿宋_GB2312" w:cs="仿宋_GB2312"/>
          <w:snapToGrid w:val="0"/>
          <w:kern w:val="0"/>
          <w:szCs w:val="32"/>
        </w:rPr>
        <w:t>以直达资金监控平台为抓手，加强对纳入动态监控系统的抗疫特别国债、一般转移支付、特殊转移支付、参照直达资金等专项资金进行日常监管，监管资金</w:t>
      </w:r>
      <w:r>
        <w:rPr>
          <w:rFonts w:hint="eastAsia"/>
        </w:rPr>
        <w:t>25568.18</w:t>
      </w:r>
      <w:r>
        <w:rPr>
          <w:rFonts w:hint="eastAsia" w:ascii="仿宋_GB2312" w:hAnsi="仿宋_GB2312" w:cs="仿宋_GB2312"/>
          <w:snapToGrid w:val="0"/>
          <w:kern w:val="0"/>
          <w:szCs w:val="32"/>
        </w:rPr>
        <w:t>万元，督促各支出业务办公</w:t>
      </w:r>
      <w:r>
        <w:rPr>
          <w:rFonts w:hint="eastAsia" w:ascii="仿宋_GB2312" w:hAnsi="仿宋_GB2312" w:cs="仿宋_GB2312"/>
          <w:szCs w:val="32"/>
        </w:rPr>
        <w:t>室对资金进行分类统计，加强资金支出进度的监控，确保每一笔直达资金都能直达基层受益人，直接惠企利民。</w:t>
      </w:r>
      <w:r>
        <w:rPr>
          <w:rFonts w:hint="eastAsia" w:ascii="仿宋_GB2312" w:hAnsi="仿宋_GB2312" w:cs="仿宋_GB2312"/>
          <w:color w:val="FF0000"/>
          <w:szCs w:val="32"/>
        </w:rPr>
        <w:t>灵台县</w:t>
      </w:r>
      <w:r>
        <w:rPr>
          <w:rFonts w:ascii="仿宋_GB2312" w:hAnsi="仿宋_GB2312" w:cs="仿宋_GB2312"/>
          <w:szCs w:val="32"/>
        </w:rPr>
        <w:t>采取项目主管部门自行监控和县局重点跟踪抽查相结合的方式，对绩效目标实现程度和预算执行进度实行“双监控”。对预算单位实施过程中出现的问题</w:t>
      </w:r>
      <w:r>
        <w:rPr>
          <w:rFonts w:hint="eastAsia" w:ascii="仿宋_GB2312" w:hAnsi="仿宋_GB2312" w:cs="仿宋_GB2312"/>
          <w:szCs w:val="32"/>
        </w:rPr>
        <w:t>及时</w:t>
      </w:r>
      <w:r>
        <w:rPr>
          <w:rFonts w:ascii="仿宋_GB2312" w:hAnsi="仿宋_GB2312" w:cs="仿宋_GB2312"/>
          <w:szCs w:val="32"/>
        </w:rPr>
        <w:t>提出</w:t>
      </w:r>
      <w:r>
        <w:rPr>
          <w:rFonts w:hint="eastAsia" w:ascii="仿宋_GB2312" w:hAnsi="仿宋_GB2312" w:cs="仿宋_GB2312"/>
          <w:szCs w:val="32"/>
        </w:rPr>
        <w:t>了</w:t>
      </w:r>
      <w:r>
        <w:rPr>
          <w:rFonts w:ascii="仿宋_GB2312" w:hAnsi="仿宋_GB2312" w:cs="仿宋_GB2312"/>
          <w:szCs w:val="32"/>
        </w:rPr>
        <w:t>整改措施，督促部门和单位落实支出责任，加快执行进度，有效防止财政资金沉淀，</w:t>
      </w:r>
      <w:r>
        <w:rPr>
          <w:rFonts w:hint="eastAsia" w:ascii="仿宋_GB2312" w:hAnsi="仿宋_GB2312" w:cs="仿宋_GB2312"/>
          <w:szCs w:val="32"/>
        </w:rPr>
        <w:t>切实</w:t>
      </w:r>
      <w:r>
        <w:rPr>
          <w:rFonts w:ascii="仿宋_GB2312" w:hAnsi="仿宋_GB2312" w:cs="仿宋_GB2312"/>
          <w:szCs w:val="32"/>
        </w:rPr>
        <w:t>提高</w:t>
      </w:r>
      <w:r>
        <w:rPr>
          <w:rFonts w:hint="eastAsia" w:ascii="仿宋_GB2312" w:hAnsi="仿宋_GB2312" w:cs="仿宋_GB2312"/>
          <w:szCs w:val="32"/>
        </w:rPr>
        <w:t>了财政</w:t>
      </w:r>
      <w:r>
        <w:rPr>
          <w:rFonts w:ascii="仿宋_GB2312" w:hAnsi="仿宋_GB2312" w:cs="仿宋_GB2312"/>
          <w:szCs w:val="32"/>
        </w:rPr>
        <w:t>资金使用效益。</w:t>
      </w:r>
      <w:r>
        <w:rPr>
          <w:rFonts w:hint="eastAsia" w:ascii="仿宋_GB2312" w:hAnsi="仿宋_GB2312" w:cs="仿宋_GB2312"/>
          <w:color w:val="FF0000"/>
          <w:szCs w:val="32"/>
        </w:rPr>
        <w:t>庄浪县</w:t>
      </w:r>
      <w:r>
        <w:rPr>
          <w:rStyle w:val="13"/>
          <w:rFonts w:ascii="仿宋_GB2312" w:hAnsi="微软雅黑"/>
          <w:color w:val="000000"/>
          <w:kern w:val="0"/>
          <w:szCs w:val="32"/>
        </w:rPr>
        <w:t>对各预算单位</w:t>
      </w:r>
      <w:r>
        <w:t>2020</w:t>
      </w:r>
      <w:r>
        <w:rPr>
          <w:rStyle w:val="13"/>
          <w:rFonts w:ascii="仿宋_GB2312"/>
          <w:szCs w:val="32"/>
        </w:rPr>
        <w:t>年</w:t>
      </w:r>
      <w:r>
        <w:t>1</w:t>
      </w:r>
      <w:r>
        <w:rPr>
          <w:rStyle w:val="13"/>
          <w:rFonts w:ascii="仿宋_GB2312"/>
          <w:szCs w:val="32"/>
        </w:rPr>
        <w:t>至</w:t>
      </w:r>
      <w:r>
        <w:t>10</w:t>
      </w:r>
      <w:r>
        <w:rPr>
          <w:rStyle w:val="13"/>
          <w:rFonts w:ascii="仿宋_GB2312"/>
          <w:szCs w:val="32"/>
        </w:rPr>
        <w:t>月份的支出开展运行监控，全面掌握绩效目标实现程度、项目实施进度、支出执行进度</w:t>
      </w:r>
      <w:r>
        <w:rPr>
          <w:rStyle w:val="13"/>
          <w:rFonts w:hint="eastAsia" w:ascii="仿宋_GB2312"/>
          <w:szCs w:val="32"/>
        </w:rPr>
        <w:t>等。</w:t>
      </w:r>
      <w:r>
        <w:rPr>
          <w:rStyle w:val="13"/>
          <w:rFonts w:ascii="仿宋_GB2312"/>
          <w:szCs w:val="32"/>
        </w:rPr>
        <w:t>对偏离目标的原因进行分析，对全年绩效目标完成情况进行预计，对预计不能完成目标的原因进行说明</w:t>
      </w:r>
      <w:r>
        <w:rPr>
          <w:rStyle w:val="13"/>
          <w:rFonts w:hint="eastAsia" w:ascii="仿宋_GB2312"/>
          <w:szCs w:val="32"/>
        </w:rPr>
        <w:t>。</w:t>
      </w:r>
      <w:r>
        <w:rPr>
          <w:rStyle w:val="13"/>
          <w:rFonts w:hint="eastAsia" w:ascii="仿宋_GB2312"/>
          <w:color w:val="FF0000"/>
          <w:szCs w:val="32"/>
        </w:rPr>
        <w:t>泾川县</w:t>
      </w:r>
      <w:r>
        <w:rPr>
          <w:rFonts w:hint="eastAsia" w:ascii="仿宋_GB2312"/>
          <w:szCs w:val="32"/>
        </w:rPr>
        <w:t>重点组织对扶贫项目绩效运行情况进行了跟踪管理，及时掌握项目进程、预算执行进度和项目绩效目标完成情况，</w:t>
      </w:r>
      <w:r>
        <w:rPr>
          <w:rFonts w:hint="eastAsia"/>
        </w:rPr>
        <w:t>2020</w:t>
      </w:r>
      <w:r>
        <w:rPr>
          <w:rFonts w:hint="eastAsia" w:ascii="仿宋_GB2312"/>
          <w:szCs w:val="32"/>
        </w:rPr>
        <w:t>年纳入财政扶贫资金动态监控平台资金</w:t>
      </w:r>
      <w:r>
        <w:rPr>
          <w:rFonts w:hint="eastAsia"/>
        </w:rPr>
        <w:t>33959.99</w:t>
      </w:r>
      <w:r>
        <w:rPr>
          <w:rFonts w:hint="eastAsia" w:ascii="仿宋_GB2312"/>
          <w:szCs w:val="32"/>
        </w:rPr>
        <w:t>万元。</w:t>
      </w:r>
    </w:p>
    <w:p>
      <w:pPr>
        <w:snapToGrid w:val="0"/>
        <w:spacing w:line="579" w:lineRule="exact"/>
        <w:ind w:firstLine="527" w:firstLineChars="150"/>
        <w:rPr>
          <w:rFonts w:ascii="仿宋_GB2312" w:hAnsi="仿宋_GB2312"/>
          <w:szCs w:val="32"/>
        </w:rPr>
      </w:pPr>
      <w:r>
        <w:rPr>
          <w:rFonts w:hint="eastAsia" w:eastAsia="楷体_GB2312"/>
          <w:b/>
          <w:bCs/>
          <w:color w:val="000000"/>
          <w:spacing w:val="15"/>
          <w:kern w:val="0"/>
          <w:szCs w:val="32"/>
        </w:rPr>
        <w:t>（八）抓绩效重应用，结果应用扩围提质。</w:t>
      </w:r>
      <w:r>
        <w:rPr>
          <w:rFonts w:hint="eastAsia"/>
          <w:szCs w:val="32"/>
        </w:rPr>
        <w:t>2020年，市本级在结果应用方面主要是做到了“三个结合”：</w:t>
      </w:r>
      <w:r>
        <w:rPr>
          <w:rFonts w:hint="eastAsia"/>
          <w:b/>
          <w:szCs w:val="32"/>
        </w:rPr>
        <w:t>一是</w:t>
      </w:r>
      <w:r>
        <w:rPr>
          <w:rFonts w:hint="eastAsia"/>
          <w:szCs w:val="32"/>
        </w:rPr>
        <w:t>将绩效评价结果与预算编制结合，实行激励措施。例如：平凉市中心城区清扫保洁垃圾收集清运和环卫基础设施建设承包项目财政资金使用绩效高，增加预算300万元。</w:t>
      </w:r>
      <w:r>
        <w:rPr>
          <w:rFonts w:hint="eastAsia"/>
          <w:b/>
          <w:szCs w:val="32"/>
        </w:rPr>
        <w:t>二是</w:t>
      </w:r>
      <w:r>
        <w:rPr>
          <w:rFonts w:hint="eastAsia"/>
          <w:szCs w:val="32"/>
        </w:rPr>
        <w:t>将绩效评价结果反馈与整改相结合。</w:t>
      </w:r>
      <w:r>
        <w:rPr>
          <w:rStyle w:val="13"/>
          <w:rFonts w:ascii="仿宋_GB2312" w:hAnsi="仿宋_GB2312"/>
          <w:szCs w:val="32"/>
        </w:rPr>
        <w:t>针对绩效评价报告中发现的问题，要求被评价单位在规定时间反馈整改措施，</w:t>
      </w:r>
      <w:r>
        <w:rPr>
          <w:rStyle w:val="13"/>
          <w:rFonts w:hint="eastAsia" w:ascii="仿宋_GB2312" w:hAnsi="仿宋_GB2312"/>
          <w:szCs w:val="32"/>
        </w:rPr>
        <w:t>市</w:t>
      </w:r>
      <w:r>
        <w:rPr>
          <w:rStyle w:val="13"/>
          <w:rFonts w:ascii="仿宋_GB2312" w:hAnsi="仿宋_GB2312"/>
          <w:szCs w:val="32"/>
        </w:rPr>
        <w:t>财政局对整改情况进行跟踪落实</w:t>
      </w:r>
      <w:r>
        <w:rPr>
          <w:rStyle w:val="13"/>
          <w:rFonts w:hint="eastAsia" w:ascii="仿宋_GB2312" w:hAnsi="仿宋_GB2312"/>
          <w:szCs w:val="32"/>
        </w:rPr>
        <w:t>。</w:t>
      </w:r>
      <w:r>
        <w:rPr>
          <w:rFonts w:hint="eastAsia"/>
          <w:b/>
          <w:szCs w:val="32"/>
        </w:rPr>
        <w:t>三是</w:t>
      </w:r>
      <w:r>
        <w:rPr>
          <w:rFonts w:hint="eastAsia"/>
          <w:szCs w:val="32"/>
        </w:rPr>
        <w:t>将绩效评价结果与公开公示结合。按照“谁组织实施，谁进行公开”的原则，我市要求各预算部门在本部门门户网站公开绩效自评报告，财政部门也将重点绩效评价报告和绩效评价结果在财政门户网站公开，接受社会监督。</w:t>
      </w:r>
      <w:r>
        <w:rPr>
          <w:rFonts w:hint="eastAsia"/>
          <w:color w:val="FF0000"/>
          <w:szCs w:val="32"/>
        </w:rPr>
        <w:t>崆峒区</w:t>
      </w:r>
      <w:r>
        <w:rPr>
          <w:rFonts w:hint="eastAsia" w:ascii="仿宋_GB2312" w:hAnsi="仿宋_GB2312" w:cs="仿宋_GB2312"/>
          <w:color w:val="000000"/>
          <w:szCs w:val="32"/>
        </w:rPr>
        <w:t>将绩效评价结果作为下年度安排部门预算的依据，使财政资金的安排更趋合理、有效，充分发挥了绩效评价对财政资金的问效作用和决策依据作用。</w:t>
      </w:r>
      <w:r>
        <w:rPr>
          <w:color w:val="FF0000"/>
          <w:spacing w:val="6"/>
          <w:szCs w:val="32"/>
        </w:rPr>
        <w:t>园区</w:t>
      </w:r>
      <w:r>
        <w:t>将绩效评价结果与年度预算安排相挂钩</w:t>
      </w:r>
      <w:r>
        <w:rPr>
          <w:rFonts w:hint="eastAsia"/>
        </w:rPr>
        <w:t>。</w:t>
      </w:r>
      <w:r>
        <w:t>支出绩效评价结果按优、良、中、低、差评定等级，对绩效优、良的项目给予鼓励和支持，在下年度安排预算时给予优先考虑；对绩效低、差的项目分析存在问题，责令项目单位进行整改，在下一年度绩效预算工作中，减少或不再安排同类项目的预算。</w:t>
      </w:r>
      <w:r>
        <w:rPr>
          <w:rFonts w:hint="eastAsia"/>
          <w:color w:val="FF0000"/>
          <w:szCs w:val="32"/>
        </w:rPr>
        <w:t>灵台县</w:t>
      </w:r>
      <w:r>
        <w:t>按资金使用效益确定预算投向和基数</w:t>
      </w:r>
      <w:r>
        <w:rPr>
          <w:rFonts w:hint="eastAsia"/>
        </w:rPr>
        <w:t>，</w:t>
      </w:r>
      <w:r>
        <w:t>坚持将预算绩效评价管理与资金预算安排挂钩，奖优罚劣。</w:t>
      </w:r>
      <w:r>
        <w:rPr>
          <w:rFonts w:hint="eastAsia"/>
          <w:color w:val="FF0000"/>
        </w:rPr>
        <w:t>华亭市</w:t>
      </w:r>
      <w:r>
        <w:rPr>
          <w:rFonts w:hint="eastAsia" w:ascii="仿宋_GB2312" w:hAnsi="仿宋_GB2312" w:cs="仿宋_GB2312"/>
          <w:szCs w:val="32"/>
        </w:rPr>
        <w:t>对各归口预算单位实施的项目分别提出了调整资金安排、中止项目拨款、收回指标、奖励和追责等评价结果应用建议，</w:t>
      </w:r>
      <w:r>
        <w:rPr>
          <w:rFonts w:hint="eastAsia" w:cs="宋体"/>
          <w:szCs w:val="32"/>
        </w:rPr>
        <w:t>绩效评价结果同预算安排和政策调整挂钩机制初步建立。</w:t>
      </w:r>
      <w:r>
        <w:rPr>
          <w:rFonts w:hint="eastAsia" w:ascii="仿宋_GB2312" w:hAnsi="仿宋_GB2312" w:cs="仿宋_GB2312"/>
          <w:snapToGrid w:val="0"/>
          <w:color w:val="FF0000"/>
          <w:kern w:val="0"/>
          <w:szCs w:val="32"/>
          <w:shd w:val="clear" w:color="auto" w:fill="FFFFFF"/>
        </w:rPr>
        <w:t>崇信县</w:t>
      </w:r>
      <w:r>
        <w:rPr>
          <w:rFonts w:hint="eastAsia" w:ascii="仿宋_GB2312" w:hAnsi="仿宋_GB2312" w:cs="仿宋_GB2312"/>
          <w:szCs w:val="32"/>
        </w:rPr>
        <w:t>建立了绩效评价结果与预算安排调整挂钩机制。对上年度绩效评价结果较好的部门，预算安排时予以倾斜；对绩效评价发现问题、达不到绩效目标或评价结果较差的，根据情况调整项目或相应调减项目预算，激励单位提高了资金绩效管理意识。</w:t>
      </w:r>
      <w:r>
        <w:rPr>
          <w:rFonts w:hint="eastAsia" w:cs="仿宋_GB2312"/>
          <w:snapToGrid w:val="0"/>
          <w:color w:val="FF0000"/>
          <w:kern w:val="0"/>
          <w:shd w:val="clear" w:color="auto" w:fill="FFFFFF"/>
        </w:rPr>
        <w:t>庄浪县</w:t>
      </w:r>
      <w:r>
        <w:rPr>
          <w:rStyle w:val="13"/>
          <w:rFonts w:ascii="仿宋_GB2312" w:hAnsi="仿宋_GB2312"/>
          <w:szCs w:val="32"/>
        </w:rPr>
        <w:t>针对绩效评价报告中发现的问题，要求被评价单位在规定时间反馈整改措施</w:t>
      </w:r>
      <w:r>
        <w:rPr>
          <w:rStyle w:val="13"/>
          <w:rFonts w:hint="eastAsia" w:ascii="仿宋_GB2312" w:hAnsi="仿宋_GB2312"/>
          <w:szCs w:val="32"/>
        </w:rPr>
        <w:t>。</w:t>
      </w:r>
      <w:r>
        <w:rPr>
          <w:rStyle w:val="13"/>
          <w:rFonts w:ascii="仿宋_GB2312" w:hAnsi="仿宋_GB2312"/>
          <w:szCs w:val="32"/>
        </w:rPr>
        <w:t>县财政局对整改情况进行跟踪落实</w:t>
      </w:r>
      <w:r>
        <w:rPr>
          <w:rStyle w:val="13"/>
          <w:rFonts w:hint="eastAsia" w:ascii="仿宋_GB2312" w:hAnsi="仿宋_GB2312"/>
          <w:szCs w:val="32"/>
        </w:rPr>
        <w:t>，</w:t>
      </w:r>
      <w:r>
        <w:rPr>
          <w:rStyle w:val="13"/>
          <w:rFonts w:hint="eastAsia" w:ascii="仿宋_GB2312" w:hAnsi="仿宋_GB2312" w:cs="仿宋_GB2312"/>
          <w:szCs w:val="32"/>
        </w:rPr>
        <w:t>并</w:t>
      </w:r>
      <w:r>
        <w:rPr>
          <w:rStyle w:val="13"/>
          <w:rFonts w:ascii="仿宋_GB2312" w:hAnsi="仿宋_GB2312"/>
          <w:szCs w:val="32"/>
        </w:rPr>
        <w:t>将绩效评价结果作为</w:t>
      </w:r>
      <w:r>
        <w:rPr>
          <w:color w:val="000000"/>
          <w:szCs w:val="22"/>
        </w:rPr>
        <w:t>2021</w:t>
      </w:r>
      <w:r>
        <w:rPr>
          <w:rStyle w:val="13"/>
          <w:rFonts w:ascii="仿宋_GB2312" w:hAnsi="仿宋_GB2312"/>
          <w:szCs w:val="32"/>
        </w:rPr>
        <w:t>年度部门预算安排的依据。</w:t>
      </w:r>
    </w:p>
    <w:p>
      <w:pPr>
        <w:widowControl/>
        <w:shd w:val="clear" w:color="auto" w:fill="FFFFFF"/>
        <w:adjustRightInd w:val="0"/>
        <w:snapToGrid w:val="0"/>
        <w:spacing w:line="579" w:lineRule="exact"/>
        <w:ind w:firstLine="700" w:firstLineChars="200"/>
        <w:rPr>
          <w:rFonts w:eastAsia="黑体"/>
          <w:bCs/>
          <w:color w:val="000000"/>
          <w:spacing w:val="15"/>
          <w:kern w:val="0"/>
          <w:szCs w:val="32"/>
        </w:rPr>
      </w:pPr>
      <w:r>
        <w:rPr>
          <w:rFonts w:eastAsia="黑体"/>
          <w:bCs/>
          <w:color w:val="000000"/>
          <w:spacing w:val="15"/>
          <w:kern w:val="0"/>
          <w:szCs w:val="32"/>
        </w:rPr>
        <w:t>二、存在的问题及原因</w:t>
      </w:r>
    </w:p>
    <w:p>
      <w:pPr>
        <w:spacing w:line="579" w:lineRule="exact"/>
        <w:ind w:firstLine="640" w:firstLineChars="200"/>
      </w:pPr>
      <w:r>
        <w:rPr>
          <w:szCs w:val="32"/>
        </w:rPr>
        <w:t>一年来，</w:t>
      </w:r>
      <w:r>
        <w:rPr>
          <w:rFonts w:hint="eastAsia"/>
          <w:szCs w:val="32"/>
        </w:rPr>
        <w:t>我市</w:t>
      </w:r>
      <w:r>
        <w:rPr>
          <w:szCs w:val="32"/>
        </w:rPr>
        <w:t>虽然在推进预算绩效管理方面做了大量工作，创新了一些举措，取得了一些成绩，积累了一些经验，但与</w:t>
      </w:r>
      <w:r>
        <w:rPr>
          <w:rFonts w:hint="eastAsia"/>
          <w:szCs w:val="32"/>
        </w:rPr>
        <w:t>其他</w:t>
      </w:r>
      <w:r>
        <w:rPr>
          <w:szCs w:val="32"/>
        </w:rPr>
        <w:t>市州的先进经验和做法相比，还存在一些差距和不足。</w:t>
      </w:r>
      <w:r>
        <w:rPr>
          <w:rFonts w:eastAsia="楷体_GB2312"/>
          <w:b/>
          <w:bCs/>
          <w:szCs w:val="32"/>
        </w:rPr>
        <w:t>一是</w:t>
      </w:r>
      <w:r>
        <w:rPr>
          <w:rFonts w:hint="eastAsia" w:eastAsia="楷体_GB2312"/>
          <w:b/>
          <w:bCs/>
          <w:szCs w:val="32"/>
        </w:rPr>
        <w:t>绩效意识还需加强</w:t>
      </w:r>
      <w:r>
        <w:rPr>
          <w:rFonts w:eastAsia="楷体_GB2312"/>
          <w:b/>
          <w:bCs/>
          <w:szCs w:val="32"/>
        </w:rPr>
        <w:t>。</w:t>
      </w:r>
      <w:r>
        <w:rPr>
          <w:szCs w:val="32"/>
        </w:rPr>
        <w:t>近年来，预算绩效管理工作虽然持续推进，</w:t>
      </w:r>
      <w:r>
        <w:rPr>
          <w:rFonts w:hint="eastAsia"/>
          <w:szCs w:val="32"/>
        </w:rPr>
        <w:t>但</w:t>
      </w:r>
      <w:r>
        <w:rPr>
          <w:szCs w:val="32"/>
        </w:rPr>
        <w:t>各部门全面实施预算绩效管理的理念尚未牢固树立，长期以来形成的“重投入轻管理、重使用轻绩效”观念还未根除</w:t>
      </w:r>
      <w:r>
        <w:rPr>
          <w:rFonts w:hint="eastAsia"/>
          <w:szCs w:val="32"/>
        </w:rPr>
        <w:t>。</w:t>
      </w:r>
      <w:r>
        <w:rPr>
          <w:rFonts w:hint="eastAsia" w:eastAsia="楷体_GB2312"/>
          <w:b/>
          <w:bCs/>
          <w:szCs w:val="32"/>
        </w:rPr>
        <w:t>二是指标体系还不够完善</w:t>
      </w:r>
      <w:r>
        <w:rPr>
          <w:rFonts w:eastAsia="楷体_GB2312"/>
          <w:b/>
          <w:bCs/>
          <w:szCs w:val="32"/>
        </w:rPr>
        <w:t>。</w:t>
      </w:r>
      <w:r>
        <w:rPr>
          <w:rFonts w:hint="eastAsia"/>
          <w:szCs w:val="32"/>
        </w:rPr>
        <w:t>分行业、分领域、分层次的绩效指标和标准体系还不完备，对预期实现的目标设定不准确、描述难量化，绩效目标的导向、约束作用发挥不好</w:t>
      </w:r>
      <w:r>
        <w:rPr>
          <w:szCs w:val="32"/>
        </w:rPr>
        <w:t>。</w:t>
      </w:r>
      <w:r>
        <w:rPr>
          <w:rFonts w:hint="eastAsia" w:eastAsia="楷体_GB2312"/>
          <w:b/>
          <w:bCs/>
          <w:szCs w:val="32"/>
        </w:rPr>
        <w:t>三是信息化建设滞后。</w:t>
      </w:r>
      <w:r>
        <w:rPr>
          <w:rFonts w:hint="eastAsia"/>
          <w:szCs w:val="32"/>
        </w:rPr>
        <w:t>我市落实全过程预算绩效管理模式的信息化水平不高。下一步，我们将按照预算绩效管理工作要求，扎实开展工作，加强预算绩效管理的信息化建设。</w:t>
      </w:r>
    </w:p>
    <w:p>
      <w:pPr>
        <w:adjustRightInd w:val="0"/>
        <w:snapToGrid w:val="0"/>
        <w:spacing w:line="579" w:lineRule="exact"/>
        <w:ind w:firstLine="640" w:firstLineChars="200"/>
        <w:rPr>
          <w:rFonts w:hAnsi="黑体" w:eastAsia="黑体"/>
          <w:szCs w:val="32"/>
        </w:rPr>
      </w:pPr>
      <w:r>
        <w:rPr>
          <w:rFonts w:hAnsi="黑体" w:eastAsia="黑体"/>
          <w:szCs w:val="32"/>
        </w:rPr>
        <w:t>三、下一步工作打算</w:t>
      </w:r>
    </w:p>
    <w:p>
      <w:pPr>
        <w:pStyle w:val="6"/>
        <w:shd w:val="clear" w:color="auto" w:fill="FFFFFF"/>
        <w:adjustRightInd w:val="0"/>
        <w:snapToGrid w:val="0"/>
        <w:spacing w:before="0" w:beforeAutospacing="0" w:after="0" w:afterAutospacing="0" w:line="579" w:lineRule="exact"/>
        <w:ind w:firstLine="640" w:firstLineChars="200"/>
        <w:rPr>
          <w:rFonts w:ascii="仿宋_GB2312" w:hAnsi="微软雅黑" w:eastAsia="仿宋_GB2312"/>
          <w:color w:val="000000" w:themeColor="text1"/>
          <w:sz w:val="32"/>
          <w:szCs w:val="32"/>
        </w:rPr>
      </w:pPr>
      <w:r>
        <w:rPr>
          <w:rFonts w:hint="eastAsia" w:ascii="Times New Roman" w:hAnsi="Times New Roman" w:eastAsia="仿宋_GB2312" w:cs="Times New Roman"/>
          <w:color w:val="000000"/>
          <w:kern w:val="2"/>
          <w:sz w:val="32"/>
          <w:szCs w:val="22"/>
        </w:rPr>
        <w:t>2021</w:t>
      </w:r>
      <w:r>
        <w:rPr>
          <w:rFonts w:hint="eastAsia" w:ascii="仿宋_GB2312" w:hAnsi="微软雅黑" w:eastAsia="仿宋_GB2312"/>
          <w:color w:val="000000" w:themeColor="text1"/>
          <w:sz w:val="32"/>
          <w:szCs w:val="32"/>
        </w:rPr>
        <w:t>年我市财政局预算绩效管理工作的总体思路是：按照党的十九大“全面实施绩效管理”的要求，坚持以习近平新时代中国特色社会主义思想为指导，全面深入推进预算绩效管理，围绕加快建成全方位、全过程、全覆盖的预算绩效管理体系，进一步完善“预算编制有目标、预算执行有监控、预算完成有评价、评价结果有反馈、反馈结果有应用”的工作机制，推动全市预算绩效管理工作再上新台阶。</w:t>
      </w:r>
    </w:p>
    <w:p>
      <w:pPr>
        <w:pStyle w:val="6"/>
        <w:shd w:val="clear" w:color="auto" w:fill="FFFFFF"/>
        <w:adjustRightInd w:val="0"/>
        <w:snapToGrid w:val="0"/>
        <w:spacing w:before="0" w:beforeAutospacing="0" w:after="0" w:afterAutospacing="0" w:line="579"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楷体_GB2312" w:cs="Times New Roman"/>
          <w:b/>
          <w:color w:val="000000"/>
          <w:sz w:val="32"/>
          <w:szCs w:val="32"/>
        </w:rPr>
        <w:t>（</w:t>
      </w:r>
      <w:r>
        <w:rPr>
          <w:rFonts w:ascii="Times New Roman" w:hAnsi="Times New Roman" w:eastAsia="楷体_GB2312" w:cs="Times New Roman"/>
          <w:b/>
          <w:color w:val="000000"/>
          <w:sz w:val="32"/>
          <w:szCs w:val="32"/>
        </w:rPr>
        <w:t>一</w:t>
      </w:r>
      <w:r>
        <w:rPr>
          <w:rFonts w:hint="eastAsia" w:ascii="Times New Roman" w:hAnsi="Times New Roman" w:eastAsia="楷体_GB2312" w:cs="Times New Roman"/>
          <w:b/>
          <w:color w:val="000000"/>
          <w:sz w:val="32"/>
          <w:szCs w:val="32"/>
        </w:rPr>
        <w:t>）</w:t>
      </w:r>
      <w:r>
        <w:rPr>
          <w:rFonts w:ascii="Times New Roman" w:hAnsi="Times New Roman" w:eastAsia="楷体_GB2312" w:cs="Times New Roman"/>
          <w:b/>
          <w:color w:val="000000"/>
          <w:sz w:val="32"/>
          <w:szCs w:val="32"/>
        </w:rPr>
        <w:t>健全完善预算绩效管理制度。</w:t>
      </w:r>
      <w:r>
        <w:rPr>
          <w:rFonts w:ascii="Times New Roman" w:hAnsi="Times New Roman" w:eastAsia="仿宋_GB2312" w:cs="Times New Roman"/>
          <w:color w:val="000000"/>
          <w:sz w:val="32"/>
          <w:szCs w:val="32"/>
        </w:rPr>
        <w:t>拓展全过程预算绩效管理链条，完善全覆盖预算绩效管理体系，加快推进预算和绩效管理一体化进程，形成一套完整绩效管理闭环体系。</w:t>
      </w:r>
      <w:r>
        <w:rPr>
          <w:rFonts w:ascii="Times New Roman" w:hAnsi="Times New Roman" w:eastAsia="仿宋_GB2312" w:cs="Times New Roman"/>
          <w:b/>
          <w:color w:val="000000"/>
          <w:sz w:val="32"/>
          <w:szCs w:val="32"/>
        </w:rPr>
        <w:t>建立以绩效目标为主要内容的事前绩效评估机制，</w:t>
      </w:r>
      <w:r>
        <w:rPr>
          <w:rFonts w:ascii="Times New Roman" w:hAnsi="Times New Roman" w:eastAsia="仿宋_GB2312" w:cs="Times New Roman"/>
          <w:color w:val="000000"/>
          <w:sz w:val="32"/>
          <w:szCs w:val="32"/>
        </w:rPr>
        <w:t>形成“未经评估不得申请预算”规范程序，将绩效评估结果作为预算安排的重要依据。</w:t>
      </w:r>
      <w:r>
        <w:rPr>
          <w:rFonts w:ascii="Times New Roman" w:hAnsi="Times New Roman" w:eastAsia="仿宋_GB2312" w:cs="Times New Roman"/>
          <w:b/>
          <w:color w:val="000000"/>
          <w:sz w:val="32"/>
          <w:szCs w:val="32"/>
        </w:rPr>
        <w:t>建立绩效目标同步管理机制，</w:t>
      </w:r>
      <w:r>
        <w:rPr>
          <w:rFonts w:ascii="Times New Roman" w:hAnsi="Times New Roman" w:eastAsia="仿宋_GB2312" w:cs="Times New Roman"/>
          <w:color w:val="000000"/>
          <w:sz w:val="32"/>
          <w:szCs w:val="32"/>
        </w:rPr>
        <w:t>对部门整体支出、项目支出绩效目标管理实现全覆盖，对部门整体支出、项目支出绩效目标管理全面实现“四同步”，即同步编审、同步上会、同步批复、同步公开。</w:t>
      </w:r>
      <w:r>
        <w:rPr>
          <w:rFonts w:ascii="Times New Roman" w:hAnsi="Times New Roman" w:eastAsia="仿宋_GB2312" w:cs="Times New Roman"/>
          <w:b/>
          <w:color w:val="000000"/>
          <w:sz w:val="32"/>
          <w:szCs w:val="32"/>
        </w:rPr>
        <w:t>建立绩效目标跟踪监控机制，</w:t>
      </w:r>
      <w:r>
        <w:rPr>
          <w:rFonts w:ascii="Times New Roman" w:hAnsi="Times New Roman" w:eastAsia="仿宋_GB2312" w:cs="Times New Roman"/>
          <w:color w:val="000000"/>
          <w:sz w:val="32"/>
          <w:szCs w:val="32"/>
        </w:rPr>
        <w:t>将绩效运行监控与预算执行分析结合，实现静态时点监督与动态实时监督相结合，提升预算执行监控的精准性。</w:t>
      </w:r>
      <w:r>
        <w:rPr>
          <w:rFonts w:ascii="Times New Roman" w:hAnsi="Times New Roman" w:eastAsia="仿宋_GB2312" w:cs="Times New Roman"/>
          <w:b/>
          <w:color w:val="000000"/>
          <w:sz w:val="32"/>
          <w:szCs w:val="32"/>
        </w:rPr>
        <w:t>健全完善绩效管理扩面机制，</w:t>
      </w:r>
      <w:r>
        <w:rPr>
          <w:rFonts w:ascii="Times New Roman" w:hAnsi="Times New Roman" w:eastAsia="仿宋_GB2312" w:cs="Times New Roman"/>
          <w:color w:val="000000"/>
          <w:sz w:val="32"/>
          <w:szCs w:val="32"/>
        </w:rPr>
        <w:t>逐步将国有资本经营预算、行政事业单位国有资产管理情况等方面纳入绩效管理，形成以项目支出绩效评价为切入点，向财政政策、制度等领域延伸的多层次、全方位预算绩效管理格局。</w:t>
      </w:r>
    </w:p>
    <w:p>
      <w:pPr>
        <w:pStyle w:val="6"/>
        <w:shd w:val="clear" w:color="auto" w:fill="FFFFFF"/>
        <w:adjustRightInd w:val="0"/>
        <w:snapToGrid w:val="0"/>
        <w:spacing w:before="0" w:beforeAutospacing="0" w:after="0" w:afterAutospacing="0" w:line="579"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楷体_GB2312" w:cs="Times New Roman"/>
          <w:b/>
          <w:color w:val="000000"/>
          <w:sz w:val="32"/>
          <w:szCs w:val="32"/>
        </w:rPr>
        <w:t>（二）</w:t>
      </w:r>
      <w:r>
        <w:rPr>
          <w:rFonts w:ascii="Times New Roman" w:hAnsi="Times New Roman" w:eastAsia="楷体_GB2312" w:cs="Times New Roman"/>
          <w:b/>
          <w:color w:val="000000"/>
          <w:sz w:val="32"/>
          <w:szCs w:val="32"/>
        </w:rPr>
        <w:t>强化</w:t>
      </w:r>
      <w:r>
        <w:rPr>
          <w:rFonts w:hint="eastAsia" w:ascii="Times New Roman" w:hAnsi="Times New Roman" w:eastAsia="楷体_GB2312" w:cs="Times New Roman"/>
          <w:b/>
          <w:color w:val="000000"/>
          <w:sz w:val="32"/>
          <w:szCs w:val="32"/>
        </w:rPr>
        <w:t>预算绩效</w:t>
      </w:r>
      <w:r>
        <w:rPr>
          <w:rFonts w:ascii="Times New Roman" w:hAnsi="Times New Roman" w:eastAsia="楷体_GB2312" w:cs="Times New Roman"/>
          <w:b/>
          <w:color w:val="000000"/>
          <w:sz w:val="32"/>
          <w:szCs w:val="32"/>
        </w:rPr>
        <w:t>目标管理。</w:t>
      </w:r>
      <w:r>
        <w:rPr>
          <w:rFonts w:ascii="Times New Roman" w:hAnsi="Times New Roman" w:eastAsia="仿宋_GB2312" w:cs="Times New Roman"/>
          <w:color w:val="000000"/>
          <w:sz w:val="32"/>
          <w:szCs w:val="32"/>
        </w:rPr>
        <w:t xml:space="preserve"> 坚持“干多少事、花多少钱”的原则，加强对预算部门编制绩效目标工作的指导，从“完整性、相关性、适当性、可行性”四个方面审核编制市级部门预算绩效目标，避免出现“花钱无效”现象。开展事前绩效评估和预算评审，没有开展评估或审核未通过的不得申请和安排预算。严控追加预算绩效目标管理，凡是未列入当年预算安排的资金，在预算追加时应编制追加项目的预算绩效目标。</w:t>
      </w:r>
    </w:p>
    <w:p>
      <w:pPr>
        <w:pStyle w:val="6"/>
        <w:shd w:val="clear" w:color="auto" w:fill="FFFFFF"/>
        <w:adjustRightInd w:val="0"/>
        <w:snapToGrid w:val="0"/>
        <w:spacing w:before="0" w:beforeAutospacing="0" w:after="0" w:afterAutospacing="0" w:line="579"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楷体_GB2312" w:cs="Times New Roman"/>
          <w:b/>
          <w:color w:val="000000"/>
          <w:sz w:val="32"/>
          <w:szCs w:val="32"/>
        </w:rPr>
        <w:t>（三）</w:t>
      </w:r>
      <w:r>
        <w:rPr>
          <w:rFonts w:ascii="Times New Roman" w:hAnsi="Times New Roman" w:eastAsia="楷体_GB2312" w:cs="Times New Roman"/>
          <w:b/>
          <w:color w:val="000000"/>
          <w:sz w:val="32"/>
          <w:szCs w:val="32"/>
        </w:rPr>
        <w:t>强化绩效</w:t>
      </w:r>
      <w:r>
        <w:rPr>
          <w:rFonts w:hint="eastAsia" w:ascii="Times New Roman" w:hAnsi="Times New Roman" w:eastAsia="楷体_GB2312" w:cs="Times New Roman"/>
          <w:b/>
          <w:color w:val="000000"/>
          <w:sz w:val="32"/>
          <w:szCs w:val="32"/>
        </w:rPr>
        <w:t>跟踪</w:t>
      </w:r>
      <w:r>
        <w:rPr>
          <w:rFonts w:ascii="Times New Roman" w:hAnsi="Times New Roman" w:eastAsia="楷体_GB2312" w:cs="Times New Roman"/>
          <w:b/>
          <w:color w:val="000000"/>
          <w:sz w:val="32"/>
          <w:szCs w:val="32"/>
        </w:rPr>
        <w:t>运行监控。</w:t>
      </w:r>
      <w:r>
        <w:rPr>
          <w:rFonts w:ascii="Times New Roman" w:hAnsi="Times New Roman" w:eastAsia="仿宋_GB2312" w:cs="Times New Roman"/>
          <w:color w:val="000000"/>
          <w:sz w:val="32"/>
          <w:szCs w:val="32"/>
        </w:rPr>
        <w:t xml:space="preserve"> 除涉密部门（单位）外，市级所有预算部门（单位）全面开展预算绩效监控，通过实地抽查单位自评等方式，动态了解和掌握财政资金使用、项目实施管理以及绩效目标实现程度等，及时纠正绩效目标执行偏差，确保年度预算绩效目标实现。</w:t>
      </w:r>
    </w:p>
    <w:p>
      <w:pPr>
        <w:pStyle w:val="6"/>
        <w:shd w:val="clear" w:color="auto" w:fill="FFFFFF"/>
        <w:adjustRightInd w:val="0"/>
        <w:snapToGrid w:val="0"/>
        <w:spacing w:before="0" w:beforeAutospacing="0" w:after="0" w:afterAutospacing="0" w:line="579"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楷体_GB2312" w:cs="Times New Roman"/>
          <w:b/>
          <w:color w:val="000000"/>
          <w:sz w:val="32"/>
          <w:szCs w:val="32"/>
        </w:rPr>
        <w:t>（四）</w:t>
      </w:r>
      <w:r>
        <w:rPr>
          <w:rFonts w:ascii="Times New Roman" w:hAnsi="Times New Roman" w:eastAsia="楷体_GB2312" w:cs="Times New Roman"/>
          <w:b/>
          <w:color w:val="000000"/>
          <w:sz w:val="32"/>
          <w:szCs w:val="32"/>
        </w:rPr>
        <w:t>深化项目支出绩效评价。</w:t>
      </w:r>
      <w:r>
        <w:rPr>
          <w:rFonts w:ascii="Times New Roman" w:hAnsi="Times New Roman" w:eastAsia="仿宋_GB2312" w:cs="Times New Roman"/>
          <w:color w:val="000000"/>
          <w:sz w:val="32"/>
          <w:szCs w:val="32"/>
        </w:rPr>
        <w:t>稳步推进预算绩效管理扩围提质，在教育、医疗卫生、社会保障等涉及民生保障方面的专项资金以及产业发展、基础设施建设等重点项目中选取部分项目实施重点绩效评价，提高财政资金使用绩效。积极探索开展公务用车支出、国有企业、政府债务、政府性基金等开展绩效评价。</w:t>
      </w:r>
    </w:p>
    <w:p>
      <w:pPr>
        <w:pStyle w:val="6"/>
        <w:shd w:val="clear" w:color="auto" w:fill="FFFFFF"/>
        <w:adjustRightInd w:val="0"/>
        <w:snapToGrid w:val="0"/>
        <w:spacing w:before="0" w:beforeAutospacing="0" w:after="0" w:afterAutospacing="0" w:line="579"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楷体_GB2312" w:cs="Times New Roman"/>
          <w:b/>
          <w:color w:val="000000"/>
          <w:sz w:val="32"/>
          <w:szCs w:val="32"/>
        </w:rPr>
        <w:t>（五）</w:t>
      </w:r>
      <w:r>
        <w:rPr>
          <w:rFonts w:ascii="Times New Roman" w:hAnsi="Times New Roman" w:eastAsia="楷体_GB2312" w:cs="Times New Roman"/>
          <w:b/>
          <w:color w:val="000000"/>
          <w:sz w:val="32"/>
          <w:szCs w:val="32"/>
        </w:rPr>
        <w:t>推进部门整体支出绩效评价。</w:t>
      </w:r>
      <w:r>
        <w:rPr>
          <w:rFonts w:ascii="Times New Roman" w:hAnsi="Times New Roman" w:eastAsia="仿宋_GB2312" w:cs="Times New Roman"/>
          <w:color w:val="000000"/>
          <w:kern w:val="2"/>
          <w:sz w:val="32"/>
          <w:szCs w:val="32"/>
        </w:rPr>
        <w:t>开展单位自评、部门评价和财政评价，</w:t>
      </w:r>
      <w:r>
        <w:rPr>
          <w:rFonts w:ascii="Times New Roman" w:hAnsi="Times New Roman" w:eastAsia="仿宋_GB2312" w:cs="Times New Roman"/>
          <w:color w:val="000000"/>
          <w:sz w:val="32"/>
          <w:szCs w:val="32"/>
        </w:rPr>
        <w:t>在市级预算单位中选取部分预算单位实施重点评价，提高部门预算编制、预算执行的整体绩效。部门评价和财政评价在单位自评基础上开展，创新绩效评价方式，必要时引入第三机构参与部分项目和预算单位的绩效评价，提升绩效评价的科学性、客观性及公正性。</w:t>
      </w:r>
      <w:r>
        <w:rPr>
          <w:rFonts w:hint="eastAsia" w:ascii="Times New Roman" w:hAnsi="Times New Roman" w:eastAsia="仿宋_GB2312" w:cs="Times New Roman"/>
          <w:color w:val="000000"/>
          <w:sz w:val="32"/>
          <w:szCs w:val="32"/>
        </w:rPr>
        <w:t xml:space="preserve">                         </w:t>
      </w:r>
      <w:r>
        <w:rPr>
          <w:rFonts w:hint="eastAsia" w:ascii="Times New Roman" w:hAnsi="Times New Roman" w:eastAsia="楷体_GB2312" w:cs="Times New Roman"/>
          <w:b/>
          <w:color w:val="000000"/>
          <w:sz w:val="32"/>
          <w:szCs w:val="32"/>
        </w:rPr>
        <w:t xml:space="preserve">        </w:t>
      </w:r>
    </w:p>
    <w:p>
      <w:pPr>
        <w:pStyle w:val="6"/>
        <w:shd w:val="clear" w:color="auto" w:fill="FFFFFF"/>
        <w:adjustRightInd w:val="0"/>
        <w:snapToGrid w:val="0"/>
        <w:spacing w:before="0" w:beforeAutospacing="0" w:after="0" w:afterAutospacing="0" w:line="579"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楷体_GB2312" w:cs="Times New Roman"/>
          <w:b/>
          <w:color w:val="000000"/>
          <w:sz w:val="32"/>
          <w:szCs w:val="32"/>
        </w:rPr>
        <w:t>（六）</w:t>
      </w:r>
      <w:r>
        <w:rPr>
          <w:rFonts w:ascii="Times New Roman" w:hAnsi="Times New Roman" w:eastAsia="楷体_GB2312" w:cs="Times New Roman"/>
          <w:b/>
          <w:color w:val="000000"/>
          <w:sz w:val="32"/>
          <w:szCs w:val="32"/>
        </w:rPr>
        <w:t>突出绩效评价结果应用。</w:t>
      </w:r>
      <w:r>
        <w:rPr>
          <w:rFonts w:ascii="Times New Roman" w:hAnsi="Times New Roman" w:eastAsia="仿宋_GB2312" w:cs="Times New Roman"/>
          <w:color w:val="000000"/>
          <w:sz w:val="32"/>
          <w:szCs w:val="32"/>
        </w:rPr>
        <w:t>将年度市级财政支出绩效评价结果呈报市政府，呈请市政府印发年度绩效评价结果通报，促进绩效评价结果得到充分重视和应用。推动实施预算安排与绩效评价结果挂钩的激励约束机制，充分应用绩效评价和预算评审结果，实行绩效评价、评审结果与预算安排和政策调整实质性挂钩机制，对绩效好的政策和项目优先保障，对低效无效资金要削减或不予安排。</w:t>
      </w:r>
    </w:p>
    <w:p>
      <w:pPr>
        <w:adjustRightInd w:val="0"/>
        <w:snapToGrid w:val="0"/>
        <w:spacing w:line="579" w:lineRule="exact"/>
        <w:rPr>
          <w:rFonts w:ascii="仿宋_GB2312" w:hAnsi="微软雅黑" w:cs="宋体"/>
          <w:color w:val="000000" w:themeColor="text1"/>
          <w:kern w:val="0"/>
          <w:szCs w:val="32"/>
        </w:rPr>
      </w:pPr>
      <w:r>
        <w:rPr>
          <w:rFonts w:hint="eastAsia" w:ascii="仿宋_GB2312" w:hAnsi="微软雅黑" w:cs="宋体"/>
          <w:color w:val="000000" w:themeColor="text1"/>
          <w:kern w:val="0"/>
          <w:szCs w:val="32"/>
        </w:rPr>
        <w:t xml:space="preserve">       </w:t>
      </w:r>
    </w:p>
    <w:p>
      <w:pPr>
        <w:adjustRightInd w:val="0"/>
        <w:snapToGrid w:val="0"/>
        <w:spacing w:line="579" w:lineRule="exact"/>
        <w:rPr>
          <w:rFonts w:ascii="仿宋_GB2312" w:hAnsi="微软雅黑" w:cs="宋体"/>
          <w:color w:val="000000" w:themeColor="text1"/>
          <w:kern w:val="0"/>
          <w:szCs w:val="32"/>
        </w:rPr>
      </w:pPr>
      <w:r>
        <w:rPr>
          <w:rFonts w:hint="eastAsia" w:ascii="仿宋_GB2312" w:hAnsi="微软雅黑" w:cs="宋体"/>
          <w:color w:val="000000" w:themeColor="text1"/>
          <w:kern w:val="0"/>
          <w:szCs w:val="32"/>
        </w:rPr>
        <w:t xml:space="preserve">                               </w:t>
      </w:r>
    </w:p>
    <w:p>
      <w:pPr>
        <w:adjustRightInd w:val="0"/>
        <w:snapToGrid w:val="0"/>
        <w:spacing w:line="579" w:lineRule="exact"/>
        <w:ind w:firstLine="4320" w:firstLineChars="1350"/>
        <w:rPr>
          <w:szCs w:val="32"/>
        </w:rPr>
      </w:pPr>
      <w:r>
        <w:rPr>
          <w:szCs w:val="32"/>
        </w:rPr>
        <w:t>平凉市财政局</w:t>
      </w:r>
    </w:p>
    <w:p>
      <w:pPr>
        <w:adjustRightInd w:val="0"/>
        <w:snapToGrid w:val="0"/>
        <w:spacing w:line="579" w:lineRule="exact"/>
        <w:rPr>
          <w:szCs w:val="32"/>
        </w:rPr>
      </w:pPr>
      <w:r>
        <w:rPr>
          <w:rFonts w:hint="eastAsia"/>
          <w:szCs w:val="32"/>
        </w:rPr>
        <w:t xml:space="preserve">                          2021</w:t>
      </w:r>
      <w:r>
        <w:rPr>
          <w:szCs w:val="32"/>
        </w:rPr>
        <w:t>年</w:t>
      </w:r>
      <w:r>
        <w:rPr>
          <w:rFonts w:hint="eastAsia"/>
          <w:szCs w:val="32"/>
        </w:rPr>
        <w:t>1</w:t>
      </w:r>
      <w:r>
        <w:rPr>
          <w:szCs w:val="32"/>
        </w:rPr>
        <w:t>月</w:t>
      </w:r>
      <w:r>
        <w:rPr>
          <w:rFonts w:hint="eastAsia"/>
          <w:szCs w:val="32"/>
          <w:lang w:val="en-US" w:eastAsia="zh-CN"/>
        </w:rPr>
        <w:t>15</w:t>
      </w:r>
      <w:r>
        <w:rPr>
          <w:szCs w:val="32"/>
        </w:rPr>
        <w:t>日</w:t>
      </w:r>
    </w:p>
    <w:p>
      <w:pPr>
        <w:adjustRightInd w:val="0"/>
        <w:snapToGrid w:val="0"/>
        <w:spacing w:line="579" w:lineRule="exact"/>
        <w:rPr>
          <w:szCs w:val="32"/>
        </w:rPr>
      </w:pPr>
    </w:p>
    <w:p>
      <w:pPr>
        <w:adjustRightInd w:val="0"/>
        <w:snapToGrid w:val="0"/>
        <w:spacing w:line="579" w:lineRule="exact"/>
        <w:rPr>
          <w:szCs w:val="32"/>
        </w:rPr>
      </w:pPr>
    </w:p>
    <w:p>
      <w:pPr>
        <w:spacing w:line="579" w:lineRule="exact"/>
        <w:ind w:firstLine="4800" w:firstLineChars="1500"/>
        <w:jc w:val="left"/>
        <w:rPr>
          <w:szCs w:val="32"/>
        </w:rPr>
      </w:pPr>
    </w:p>
    <w:p>
      <w:pPr>
        <w:pBdr>
          <w:top w:val="single" w:color="auto" w:sz="12" w:space="1"/>
          <w:bottom w:val="single" w:color="auto" w:sz="12" w:space="1"/>
          <w:between w:val="single" w:color="auto" w:sz="2" w:space="1"/>
        </w:pBdr>
        <w:spacing w:line="579" w:lineRule="exact"/>
        <w:rPr>
          <w:szCs w:val="32"/>
        </w:rPr>
      </w:pPr>
      <w:r>
        <w:rPr>
          <w:position w:val="6"/>
          <w:sz w:val="28"/>
          <w:szCs w:val="28"/>
        </w:rPr>
        <w:t xml:space="preserve">  </w:t>
      </w:r>
      <w:r>
        <w:rPr>
          <w:spacing w:val="-10"/>
          <w:position w:val="6"/>
          <w:sz w:val="28"/>
          <w:szCs w:val="28"/>
        </w:rPr>
        <w:t>平凉市财政局</w:t>
      </w:r>
      <w:r>
        <w:rPr>
          <w:position w:val="6"/>
          <w:sz w:val="28"/>
          <w:szCs w:val="28"/>
        </w:rPr>
        <w:t xml:space="preserve">                       20</w:t>
      </w:r>
      <w:r>
        <w:rPr>
          <w:rFonts w:hint="eastAsia"/>
          <w:position w:val="6"/>
          <w:sz w:val="28"/>
          <w:szCs w:val="28"/>
          <w:lang w:val="en-US" w:eastAsia="zh-CN"/>
        </w:rPr>
        <w:t>21</w:t>
      </w:r>
      <w:r>
        <w:rPr>
          <w:position w:val="6"/>
          <w:sz w:val="28"/>
          <w:szCs w:val="28"/>
        </w:rPr>
        <w:t>年</w:t>
      </w:r>
      <w:r>
        <w:rPr>
          <w:rFonts w:hint="eastAsia"/>
          <w:position w:val="6"/>
          <w:sz w:val="28"/>
          <w:szCs w:val="28"/>
          <w:lang w:val="en-US" w:eastAsia="zh-CN"/>
        </w:rPr>
        <w:t>1</w:t>
      </w:r>
      <w:r>
        <w:rPr>
          <w:position w:val="6"/>
          <w:sz w:val="28"/>
          <w:szCs w:val="28"/>
        </w:rPr>
        <w:t>月</w:t>
      </w:r>
      <w:r>
        <w:rPr>
          <w:rFonts w:hint="eastAsia"/>
          <w:position w:val="6"/>
          <w:sz w:val="28"/>
          <w:szCs w:val="28"/>
          <w:lang w:val="en-US" w:eastAsia="zh-CN"/>
        </w:rPr>
        <w:t>15</w:t>
      </w:r>
      <w:r>
        <w:rPr>
          <w:position w:val="6"/>
          <w:sz w:val="28"/>
          <w:szCs w:val="28"/>
        </w:rPr>
        <w:t xml:space="preserve">日印发  </w:t>
      </w:r>
    </w:p>
    <w:sectPr>
      <w:footerReference r:id="rId3" w:type="default"/>
      <w:footerReference r:id="rId4" w:type="even"/>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sdt>
      <w:sdtPr>
        <w:rPr>
          <w:sz w:val="28"/>
          <w:szCs w:val="28"/>
        </w:rPr>
        <w:id w:val="11066111"/>
        <w:docPartObj>
          <w:docPartGallery w:val="autotext"/>
        </w:docPartObj>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w:t>
        </w:r>
      </w:sdtContent>
    </w:sdt>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28"/>
        <w:szCs w:val="28"/>
      </w:rPr>
      <w:t>-</w:t>
    </w:r>
    <w:sdt>
      <w:sdtPr>
        <w:rPr>
          <w:sz w:val="28"/>
          <w:szCs w:val="28"/>
        </w:rPr>
        <w:id w:val="11066110"/>
        <w:docPartObj>
          <w:docPartGallery w:val="autotext"/>
        </w:docPartObj>
      </w:sdtPr>
      <w:sdtEndPr>
        <w:rPr>
          <w:sz w:val="18"/>
          <w:szCs w:val="1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05B4"/>
    <w:rsid w:val="00036FE7"/>
    <w:rsid w:val="00037422"/>
    <w:rsid w:val="000511D9"/>
    <w:rsid w:val="0006776F"/>
    <w:rsid w:val="000C70CE"/>
    <w:rsid w:val="000D17AE"/>
    <w:rsid w:val="001048F5"/>
    <w:rsid w:val="0011265E"/>
    <w:rsid w:val="00132D6E"/>
    <w:rsid w:val="00132F7F"/>
    <w:rsid w:val="0018370C"/>
    <w:rsid w:val="001949FC"/>
    <w:rsid w:val="001C5CA4"/>
    <w:rsid w:val="001D0319"/>
    <w:rsid w:val="00200059"/>
    <w:rsid w:val="00246D7F"/>
    <w:rsid w:val="00251F2C"/>
    <w:rsid w:val="002A0691"/>
    <w:rsid w:val="002A3793"/>
    <w:rsid w:val="002B4720"/>
    <w:rsid w:val="002B5ECA"/>
    <w:rsid w:val="002C28AC"/>
    <w:rsid w:val="00331CE0"/>
    <w:rsid w:val="00355B66"/>
    <w:rsid w:val="00390638"/>
    <w:rsid w:val="00394D67"/>
    <w:rsid w:val="003B155C"/>
    <w:rsid w:val="003B498E"/>
    <w:rsid w:val="003F7DAE"/>
    <w:rsid w:val="00436474"/>
    <w:rsid w:val="00454FBC"/>
    <w:rsid w:val="0046625D"/>
    <w:rsid w:val="00481E0F"/>
    <w:rsid w:val="00487CDB"/>
    <w:rsid w:val="004E2740"/>
    <w:rsid w:val="00515A2E"/>
    <w:rsid w:val="00531944"/>
    <w:rsid w:val="00544365"/>
    <w:rsid w:val="005545D9"/>
    <w:rsid w:val="0057471A"/>
    <w:rsid w:val="005953BD"/>
    <w:rsid w:val="00597F28"/>
    <w:rsid w:val="005A3723"/>
    <w:rsid w:val="005B040E"/>
    <w:rsid w:val="005C1A94"/>
    <w:rsid w:val="005C4ADF"/>
    <w:rsid w:val="005C684F"/>
    <w:rsid w:val="005D7221"/>
    <w:rsid w:val="005E05DC"/>
    <w:rsid w:val="00604764"/>
    <w:rsid w:val="0061154E"/>
    <w:rsid w:val="00627443"/>
    <w:rsid w:val="006420D5"/>
    <w:rsid w:val="006842D3"/>
    <w:rsid w:val="006E0262"/>
    <w:rsid w:val="00701D3F"/>
    <w:rsid w:val="00726FD6"/>
    <w:rsid w:val="007353E4"/>
    <w:rsid w:val="00742A56"/>
    <w:rsid w:val="00742C8F"/>
    <w:rsid w:val="007503F0"/>
    <w:rsid w:val="007554C0"/>
    <w:rsid w:val="00756DB4"/>
    <w:rsid w:val="007721AB"/>
    <w:rsid w:val="007766E7"/>
    <w:rsid w:val="00782C99"/>
    <w:rsid w:val="0079140D"/>
    <w:rsid w:val="00792BBB"/>
    <w:rsid w:val="007A2B88"/>
    <w:rsid w:val="007A3B7C"/>
    <w:rsid w:val="007A767A"/>
    <w:rsid w:val="007D1FA2"/>
    <w:rsid w:val="007D244C"/>
    <w:rsid w:val="00810536"/>
    <w:rsid w:val="00834E11"/>
    <w:rsid w:val="00856BFD"/>
    <w:rsid w:val="00857C3C"/>
    <w:rsid w:val="0086608C"/>
    <w:rsid w:val="00894918"/>
    <w:rsid w:val="008B4C9C"/>
    <w:rsid w:val="008B6A5B"/>
    <w:rsid w:val="008C5539"/>
    <w:rsid w:val="008F151D"/>
    <w:rsid w:val="009268D3"/>
    <w:rsid w:val="009305B4"/>
    <w:rsid w:val="009406FB"/>
    <w:rsid w:val="00942415"/>
    <w:rsid w:val="00950821"/>
    <w:rsid w:val="009531B3"/>
    <w:rsid w:val="00992481"/>
    <w:rsid w:val="009A2577"/>
    <w:rsid w:val="009B408B"/>
    <w:rsid w:val="009B43D4"/>
    <w:rsid w:val="009C4ACA"/>
    <w:rsid w:val="009F0261"/>
    <w:rsid w:val="00A01B04"/>
    <w:rsid w:val="00A146EB"/>
    <w:rsid w:val="00A14AAC"/>
    <w:rsid w:val="00AA17DD"/>
    <w:rsid w:val="00AA73AC"/>
    <w:rsid w:val="00AB6997"/>
    <w:rsid w:val="00AC4540"/>
    <w:rsid w:val="00AC62D9"/>
    <w:rsid w:val="00AD156F"/>
    <w:rsid w:val="00AD219F"/>
    <w:rsid w:val="00AE1976"/>
    <w:rsid w:val="00B37A37"/>
    <w:rsid w:val="00B938D5"/>
    <w:rsid w:val="00BA2F98"/>
    <w:rsid w:val="00BA5604"/>
    <w:rsid w:val="00BC5EFE"/>
    <w:rsid w:val="00BC7801"/>
    <w:rsid w:val="00C32834"/>
    <w:rsid w:val="00C35FD1"/>
    <w:rsid w:val="00C36B9B"/>
    <w:rsid w:val="00C37646"/>
    <w:rsid w:val="00C652CA"/>
    <w:rsid w:val="00C71B98"/>
    <w:rsid w:val="00C86217"/>
    <w:rsid w:val="00CA6DE4"/>
    <w:rsid w:val="00CC4F2D"/>
    <w:rsid w:val="00CE5CBD"/>
    <w:rsid w:val="00D015B8"/>
    <w:rsid w:val="00D03074"/>
    <w:rsid w:val="00D04CDA"/>
    <w:rsid w:val="00D06979"/>
    <w:rsid w:val="00D13B87"/>
    <w:rsid w:val="00D34CD8"/>
    <w:rsid w:val="00D5363F"/>
    <w:rsid w:val="00D667B9"/>
    <w:rsid w:val="00D77764"/>
    <w:rsid w:val="00D87AC4"/>
    <w:rsid w:val="00D92689"/>
    <w:rsid w:val="00DB5687"/>
    <w:rsid w:val="00DF201F"/>
    <w:rsid w:val="00DF5F8B"/>
    <w:rsid w:val="00E20D88"/>
    <w:rsid w:val="00E276F1"/>
    <w:rsid w:val="00E34890"/>
    <w:rsid w:val="00E519F6"/>
    <w:rsid w:val="00E66EC7"/>
    <w:rsid w:val="00E85B39"/>
    <w:rsid w:val="00E90671"/>
    <w:rsid w:val="00EA3345"/>
    <w:rsid w:val="00EB1429"/>
    <w:rsid w:val="00EE0548"/>
    <w:rsid w:val="00EF38AA"/>
    <w:rsid w:val="00F155A9"/>
    <w:rsid w:val="00F20E84"/>
    <w:rsid w:val="00F238DB"/>
    <w:rsid w:val="00F2645D"/>
    <w:rsid w:val="00F7124C"/>
    <w:rsid w:val="00F7246A"/>
    <w:rsid w:val="00F727EC"/>
    <w:rsid w:val="00F7588B"/>
    <w:rsid w:val="00F84A77"/>
    <w:rsid w:val="00F85997"/>
    <w:rsid w:val="00F95A08"/>
    <w:rsid w:val="00F97C6C"/>
    <w:rsid w:val="00FE1423"/>
    <w:rsid w:val="00FE1BCB"/>
    <w:rsid w:val="00FF3703"/>
    <w:rsid w:val="0E400D53"/>
    <w:rsid w:val="356364F8"/>
    <w:rsid w:val="6EDA6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0"/>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Char"/>
    <w:basedOn w:val="1"/>
    <w:qFormat/>
    <w:uiPriority w:val="0"/>
    <w:pPr>
      <w:snapToGrid w:val="0"/>
      <w:spacing w:line="360" w:lineRule="auto"/>
      <w:ind w:firstLine="200" w:firstLineChars="200"/>
    </w:pPr>
    <w:rPr>
      <w:sz w:val="24"/>
      <w:szCs w:val="20"/>
    </w:rPr>
  </w:style>
  <w:style w:type="character" w:customStyle="1" w:styleId="13">
    <w:name w:val="NormalCharacter"/>
    <w:semiHidden/>
    <w:qFormat/>
    <w:uiPriority w:val="0"/>
  </w:style>
  <w:style w:type="paragraph" w:customStyle="1" w:styleId="14">
    <w:name w:val="Char Char Char Char Char Char Char Char Char"/>
    <w:basedOn w:val="2"/>
    <w:qFormat/>
    <w:uiPriority w:val="0"/>
    <w:pPr>
      <w:snapToGrid w:val="0"/>
      <w:spacing w:before="240" w:after="240" w:line="348" w:lineRule="auto"/>
      <w:ind w:firstLine="200" w:firstLineChars="200"/>
    </w:pPr>
    <w:rPr>
      <w:rFonts w:eastAsia="宋体"/>
      <w:bCs w:val="0"/>
      <w:szCs w:val="20"/>
    </w:rPr>
  </w:style>
  <w:style w:type="character" w:customStyle="1" w:styleId="15">
    <w:name w:val="标题 1 Char"/>
    <w:basedOn w:val="8"/>
    <w:link w:val="2"/>
    <w:qFormat/>
    <w:uiPriority w:val="9"/>
    <w:rPr>
      <w:rFonts w:ascii="Times New Roman" w:hAnsi="Times New Roman" w:eastAsia="仿宋_GB2312" w:cs="Times New Roman"/>
      <w:b/>
      <w:bCs/>
      <w:kern w:val="44"/>
      <w:sz w:val="44"/>
      <w:szCs w:val="44"/>
    </w:rPr>
  </w:style>
  <w:style w:type="character" w:customStyle="1" w:styleId="16">
    <w:name w:val="日期 Char"/>
    <w:basedOn w:val="8"/>
    <w:link w:val="3"/>
    <w:semiHidden/>
    <w:uiPriority w:val="99"/>
    <w:rPr>
      <w:rFonts w:ascii="Times New Roman" w:hAnsi="Times New Roman" w:eastAsia="仿宋_GB2312" w:cs="Times New Roman"/>
      <w:sz w:val="32"/>
      <w:szCs w:val="24"/>
    </w:rPr>
  </w:style>
  <w:style w:type="paragraph" w:customStyle="1" w:styleId="17">
    <w:name w:val="Char Char Char Char Char Char Char Char Char1"/>
    <w:basedOn w:val="2"/>
    <w:uiPriority w:val="0"/>
    <w:pPr>
      <w:snapToGrid w:val="0"/>
      <w:spacing w:before="240" w:after="240" w:line="348" w:lineRule="auto"/>
      <w:ind w:firstLine="200" w:firstLineChars="200"/>
    </w:pPr>
    <w:rPr>
      <w:rFonts w:eastAsia="宋体"/>
      <w:bCs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0074B1-5C91-49A8-97FE-8E83818093C4}">
  <ds:schemaRefs/>
</ds:datastoreItem>
</file>

<file path=docProps/app.xml><?xml version="1.0" encoding="utf-8"?>
<Properties xmlns="http://schemas.openxmlformats.org/officeDocument/2006/extended-properties" xmlns:vt="http://schemas.openxmlformats.org/officeDocument/2006/docPropsVTypes">
  <Template>Normal</Template>
  <Pages>12</Pages>
  <Words>1021</Words>
  <Characters>5820</Characters>
  <Lines>48</Lines>
  <Paragraphs>13</Paragraphs>
  <TotalTime>1797</TotalTime>
  <ScaleCrop>false</ScaleCrop>
  <LinksUpToDate>false</LinksUpToDate>
  <CharactersWithSpaces>6828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2020-12-31T02:32:00Z</dcterms:created>
  <dc:creator>郭拴太</dc:creator>
  <cp:lastModifiedBy>Administrator</cp:lastModifiedBy>
  <cp:lastPrinted>2021-09-16T07:12:53Z</cp:lastPrinted>
  <dcterms:modified xsi:type="dcterms:W3CDTF">2021-09-16T07:13:08Z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F4D6C89CA8834D31950E1642026050EB</vt:lpwstr>
  </property>
</Properties>
</file>