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平凉市粮食局</w:t>
      </w:r>
      <w:r>
        <w:rPr>
          <w:rFonts w:hint="eastAsia" w:ascii="方正小标宋简体" w:hAnsi="方正小标宋简体" w:eastAsia="方正小标宋简体" w:cs="方正小标宋简体"/>
          <w:sz w:val="44"/>
          <w:szCs w:val="44"/>
          <w:lang w:val="en-US" w:eastAsia="zh-CN"/>
        </w:rPr>
        <w:t>2018年预算公开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和2017年决算公开补充说明</w:t>
      </w: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一、2018年预算公开补充说明</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对专业性较强的名词进行解释。</w:t>
      </w:r>
    </w:p>
    <w:p>
      <w:pPr>
        <w:spacing w:line="600" w:lineRule="exact"/>
        <w:ind w:firstLine="643" w:firstLineChars="200"/>
        <w:rPr>
          <w:rFonts w:ascii="仿宋_GB2312" w:eastAsia="仿宋_GB2312"/>
          <w:sz w:val="32"/>
          <w:szCs w:val="32"/>
        </w:rPr>
      </w:pPr>
      <w:r>
        <w:rPr>
          <w:rFonts w:ascii="仿宋_GB2312" w:eastAsia="仿宋_GB2312"/>
          <w:b/>
          <w:sz w:val="32"/>
          <w:szCs w:val="32"/>
        </w:rPr>
        <w:t>财政拨款收入：</w:t>
      </w:r>
      <w:r>
        <w:rPr>
          <w:rFonts w:ascii="仿宋_GB2312" w:eastAsia="仿宋_GB2312"/>
          <w:sz w:val="32"/>
          <w:szCs w:val="32"/>
        </w:rPr>
        <w:t>指</w:t>
      </w:r>
      <w:r>
        <w:rPr>
          <w:rFonts w:hint="eastAsia" w:ascii="仿宋_GB2312" w:eastAsia="仿宋_GB2312"/>
          <w:sz w:val="32"/>
          <w:szCs w:val="32"/>
        </w:rPr>
        <w:t>市</w:t>
      </w:r>
      <w:r>
        <w:rPr>
          <w:rFonts w:ascii="仿宋_GB2312" w:eastAsia="仿宋_GB2312"/>
          <w:sz w:val="32"/>
          <w:szCs w:val="32"/>
        </w:rPr>
        <w:t>级财政当年拨付的资金。</w:t>
      </w:r>
    </w:p>
    <w:p>
      <w:pPr>
        <w:spacing w:line="600" w:lineRule="exact"/>
        <w:ind w:firstLine="643" w:firstLineChars="200"/>
        <w:rPr>
          <w:rFonts w:ascii="仿宋_GB2312" w:eastAsia="仿宋_GB2312"/>
          <w:sz w:val="32"/>
          <w:szCs w:val="32"/>
        </w:rPr>
      </w:pPr>
      <w:r>
        <w:rPr>
          <w:rFonts w:ascii="仿宋_GB2312" w:eastAsia="仿宋_GB2312"/>
          <w:b/>
          <w:sz w:val="32"/>
          <w:szCs w:val="32"/>
        </w:rPr>
        <w:t>上年结转和结余：</w:t>
      </w:r>
      <w:r>
        <w:rPr>
          <w:rFonts w:ascii="仿宋_GB2312" w:eastAsia="仿宋_GB2312"/>
          <w:sz w:val="32"/>
          <w:szCs w:val="32"/>
        </w:rPr>
        <w:t>指以前年度尚未完成，结转到本年度按有关规定继续使用的资金。</w:t>
      </w:r>
    </w:p>
    <w:p>
      <w:pPr>
        <w:spacing w:line="600" w:lineRule="exact"/>
        <w:ind w:firstLine="643" w:firstLineChars="200"/>
        <w:rPr>
          <w:rFonts w:ascii="仿宋_GB2312" w:eastAsia="仿宋_GB2312"/>
          <w:sz w:val="32"/>
          <w:szCs w:val="32"/>
        </w:rPr>
      </w:pPr>
      <w:r>
        <w:rPr>
          <w:rFonts w:ascii="仿宋_GB2312" w:eastAsia="仿宋_GB2312"/>
          <w:b/>
          <w:sz w:val="32"/>
          <w:szCs w:val="32"/>
        </w:rPr>
        <w:t>一般公共服务：</w:t>
      </w:r>
      <w:r>
        <w:rPr>
          <w:rFonts w:ascii="仿宋_GB2312" w:eastAsia="仿宋_GB2312"/>
          <w:sz w:val="32"/>
          <w:szCs w:val="32"/>
        </w:rPr>
        <w:t>指用于保障机构正常运行、开展财政管理活动的支出。</w:t>
      </w:r>
    </w:p>
    <w:p>
      <w:pPr>
        <w:spacing w:line="600" w:lineRule="exact"/>
        <w:ind w:firstLine="643" w:firstLineChars="200"/>
        <w:rPr>
          <w:rFonts w:ascii="仿宋_GB2312" w:eastAsia="仿宋_GB2312"/>
          <w:sz w:val="32"/>
          <w:szCs w:val="32"/>
        </w:rPr>
      </w:pPr>
      <w:r>
        <w:rPr>
          <w:rFonts w:ascii="仿宋_GB2312" w:eastAsia="仿宋_GB2312"/>
          <w:b/>
          <w:sz w:val="32"/>
          <w:szCs w:val="32"/>
        </w:rPr>
        <w:t>社会保障和就业：</w:t>
      </w:r>
      <w:r>
        <w:rPr>
          <w:rFonts w:ascii="仿宋_GB2312" w:eastAsia="仿宋_GB2312"/>
          <w:sz w:val="32"/>
          <w:szCs w:val="32"/>
        </w:rPr>
        <w:t>指用于离退休人员的经费。</w:t>
      </w:r>
    </w:p>
    <w:p>
      <w:pPr>
        <w:spacing w:line="600" w:lineRule="exact"/>
        <w:ind w:firstLine="643" w:firstLineChars="200"/>
        <w:rPr>
          <w:rFonts w:ascii="仿宋_GB2312" w:eastAsia="仿宋_GB2312"/>
          <w:sz w:val="32"/>
          <w:szCs w:val="32"/>
        </w:rPr>
      </w:pPr>
      <w:r>
        <w:rPr>
          <w:rFonts w:ascii="仿宋_GB2312" w:eastAsia="仿宋_GB2312"/>
          <w:b/>
          <w:sz w:val="32"/>
          <w:szCs w:val="32"/>
        </w:rPr>
        <w:t>住房保障支出：</w:t>
      </w:r>
      <w:r>
        <w:rPr>
          <w:rFonts w:ascii="仿宋_GB2312" w:eastAsia="仿宋_GB2312"/>
          <w:sz w:val="32"/>
          <w:szCs w:val="32"/>
        </w:rPr>
        <w:t>指按照国家政策规定用于住房改革方面的支出。</w:t>
      </w:r>
    </w:p>
    <w:p>
      <w:pPr>
        <w:spacing w:line="600" w:lineRule="exact"/>
        <w:ind w:firstLine="643" w:firstLineChars="200"/>
        <w:rPr>
          <w:rFonts w:ascii="仿宋_GB2312" w:eastAsia="仿宋_GB2312"/>
          <w:sz w:val="32"/>
          <w:szCs w:val="32"/>
        </w:rPr>
      </w:pPr>
      <w:r>
        <w:rPr>
          <w:rFonts w:ascii="仿宋_GB2312" w:eastAsia="仿宋_GB2312"/>
          <w:b/>
          <w:sz w:val="32"/>
          <w:szCs w:val="32"/>
        </w:rPr>
        <w:t>住房公积金：</w:t>
      </w:r>
      <w:r>
        <w:rPr>
          <w:rFonts w:ascii="仿宋_GB2312" w:eastAsia="仿宋_GB2312"/>
          <w:sz w:val="32"/>
          <w:szCs w:val="32"/>
        </w:rPr>
        <w:t>指按照国家统一规定，依据</w:t>
      </w:r>
      <w:r>
        <w:rPr>
          <w:rFonts w:hint="eastAsia" w:ascii="仿宋_GB2312" w:eastAsia="仿宋_GB2312"/>
          <w:sz w:val="32"/>
          <w:szCs w:val="32"/>
        </w:rPr>
        <w:t>市</w:t>
      </w:r>
      <w:r>
        <w:rPr>
          <w:rFonts w:ascii="仿宋_GB2312" w:eastAsia="仿宋_GB2312"/>
          <w:sz w:val="32"/>
          <w:szCs w:val="32"/>
        </w:rPr>
        <w:t>上确定的比例为在职职工缴存的长期住房储金。</w:t>
      </w:r>
    </w:p>
    <w:p>
      <w:pPr>
        <w:spacing w:line="600" w:lineRule="exact"/>
        <w:ind w:firstLine="643" w:firstLineChars="200"/>
        <w:rPr>
          <w:rFonts w:ascii="仿宋_GB2312" w:eastAsia="仿宋_GB2312"/>
          <w:sz w:val="32"/>
          <w:szCs w:val="32"/>
        </w:rPr>
      </w:pPr>
      <w:r>
        <w:rPr>
          <w:rFonts w:ascii="仿宋_GB2312" w:eastAsia="仿宋_GB2312"/>
          <w:b/>
          <w:sz w:val="32"/>
          <w:szCs w:val="32"/>
        </w:rPr>
        <w:t>基本支出：</w:t>
      </w:r>
      <w:r>
        <w:rPr>
          <w:rFonts w:ascii="仿宋_GB2312" w:eastAsia="仿宋_GB2312"/>
          <w:sz w:val="32"/>
          <w:szCs w:val="32"/>
        </w:rPr>
        <w:t>指为保障机构正常运转、完成日常工作任务而发生的人员支出和公用支出。</w:t>
      </w:r>
    </w:p>
    <w:p>
      <w:pPr>
        <w:spacing w:line="600" w:lineRule="exact"/>
        <w:ind w:firstLine="643" w:firstLineChars="200"/>
        <w:rPr>
          <w:rFonts w:ascii="仿宋_GB2312" w:eastAsia="仿宋_GB2312"/>
          <w:sz w:val="32"/>
          <w:szCs w:val="32"/>
        </w:rPr>
      </w:pPr>
      <w:r>
        <w:rPr>
          <w:rFonts w:ascii="仿宋_GB2312" w:eastAsia="仿宋_GB2312"/>
          <w:b/>
          <w:sz w:val="32"/>
          <w:szCs w:val="32"/>
        </w:rPr>
        <w:t>项目支出：</w:t>
      </w:r>
      <w:r>
        <w:rPr>
          <w:rFonts w:ascii="仿宋_GB2312" w:eastAsia="仿宋_GB2312"/>
          <w:sz w:val="32"/>
          <w:szCs w:val="32"/>
        </w:rPr>
        <w:t>指在基本支出之外为完成特定行政任务和事业发展目标所发生的支出。</w:t>
      </w:r>
    </w:p>
    <w:p>
      <w:pPr>
        <w:spacing w:line="600" w:lineRule="exact"/>
        <w:ind w:firstLine="643" w:firstLineChars="200"/>
        <w:rPr>
          <w:rFonts w:ascii="仿宋_GB2312" w:eastAsia="仿宋_GB2312"/>
          <w:sz w:val="32"/>
          <w:szCs w:val="32"/>
        </w:rPr>
      </w:pPr>
      <w:r>
        <w:rPr>
          <w:rFonts w:ascii="仿宋_GB2312" w:eastAsia="仿宋_GB2312"/>
          <w:b/>
          <w:sz w:val="32"/>
          <w:szCs w:val="32"/>
        </w:rPr>
        <w:t>年末结转和结余：</w:t>
      </w:r>
      <w:r>
        <w:rPr>
          <w:rFonts w:ascii="仿宋_GB2312" w:eastAsia="仿宋_GB2312"/>
          <w:sz w:val="32"/>
          <w:szCs w:val="32"/>
        </w:rPr>
        <w:t>指本年度或以前年度预算安排，因客观条件发生变化无法按原计划实施，需要延迟到以后年度按有关规定继续使用的资金。</w:t>
      </w:r>
    </w:p>
    <w:p>
      <w:pPr>
        <w:spacing w:line="600" w:lineRule="exact"/>
        <w:ind w:firstLine="643" w:firstLineChars="200"/>
        <w:rPr>
          <w:rFonts w:ascii="仿宋_GB2312" w:eastAsia="仿宋_GB2312"/>
          <w:sz w:val="32"/>
          <w:szCs w:val="32"/>
        </w:rPr>
      </w:pPr>
      <w:r>
        <w:rPr>
          <w:rFonts w:ascii="仿宋_GB2312" w:eastAsia="仿宋_GB2312"/>
          <w:b/>
          <w:sz w:val="32"/>
          <w:szCs w:val="32"/>
        </w:rPr>
        <w:t>三公经费：</w:t>
      </w:r>
      <w:r>
        <w:rPr>
          <w:rFonts w:ascii="仿宋_GB2312" w:eastAsia="仿宋_GB2312"/>
          <w:sz w:val="32"/>
          <w:szCs w:val="32"/>
        </w:rPr>
        <w:t>是指</w:t>
      </w:r>
      <w:r>
        <w:rPr>
          <w:rFonts w:hint="eastAsia" w:ascii="仿宋_GB2312" w:eastAsia="仿宋_GB2312"/>
          <w:sz w:val="32"/>
          <w:szCs w:val="32"/>
        </w:rPr>
        <w:t>市</w:t>
      </w:r>
      <w:r>
        <w:rPr>
          <w:rFonts w:ascii="仿宋_GB2312" w:eastAsia="仿宋_GB2312"/>
          <w:sz w:val="32"/>
          <w:szCs w:val="32"/>
        </w:rPr>
        <w:t>级部门用财政拨款安排的因公出国（境）费，公务用车购置及运行费和公务接</w:t>
      </w:r>
      <w:r>
        <w:rPr>
          <w:rFonts w:hint="eastAsia" w:ascii="仿宋_GB2312" w:eastAsia="仿宋_GB2312"/>
          <w:sz w:val="32"/>
          <w:szCs w:val="32"/>
        </w:rPr>
        <w:t>待</w:t>
      </w:r>
      <w:r>
        <w:rPr>
          <w:rFonts w:ascii="仿宋_GB2312" w:eastAsia="仿宋_GB2312"/>
          <w:sz w:val="32"/>
          <w:szCs w:val="32"/>
        </w:rPr>
        <w:t>费。</w:t>
      </w:r>
    </w:p>
    <w:p>
      <w:pPr>
        <w:spacing w:line="600" w:lineRule="exact"/>
        <w:ind w:firstLine="643" w:firstLineChars="200"/>
        <w:rPr>
          <w:rFonts w:hint="eastAsia" w:ascii="仿宋_GB2312" w:eastAsia="仿宋_GB2312"/>
          <w:sz w:val="32"/>
          <w:szCs w:val="32"/>
        </w:rPr>
      </w:pPr>
      <w:r>
        <w:rPr>
          <w:rFonts w:ascii="仿宋_GB2312" w:eastAsia="仿宋_GB2312"/>
          <w:b/>
          <w:sz w:val="32"/>
          <w:szCs w:val="32"/>
        </w:rPr>
        <w:t>机关运行经费：</w:t>
      </w:r>
      <w:bookmarkStart w:id="0" w:name="_GoBack"/>
      <w:bookmarkEnd w:id="0"/>
      <w:r>
        <w:rPr>
          <w:rFonts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粮油物资储备支出：</w:t>
      </w:r>
      <w:r>
        <w:rPr>
          <w:rFonts w:hint="eastAsia" w:ascii="仿宋_GB2312" w:eastAsia="仿宋_GB2312"/>
          <w:sz w:val="32"/>
          <w:szCs w:val="32"/>
        </w:rPr>
        <w:t>是指用于粮油物资储备方面的支出。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2.国有资产占用情况说明。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上年末固定资产金额为84.27万元，单房屋价值82.39万元，2018年采购预算3.74万元，主要是电脑，打印机采购。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3.重点项目预算的绩效目标等预算绩效情况说明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2018年预算，无实行绩效目标管理的项目。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二、2017年决算公开补充说明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1.决算收支增减变化情况说明。</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2017年度财政拨款收入813.92万元，较上年减少590.98万元，主要是减少了项目支出，上年结转0.4万元；支出810.21万元，较上年减少594.69万元，主要是减少了项目支出，年末结转4.11万元。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2.国有资产占用情况说明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2017年末固定资产金额为84.27万元，房屋价值82.39万元。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3.“三公”经费增减变化原因等说明信息。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“三公”经费减少2.5万元，主要是公务用车改革，减少了车辆运行费。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4.说明国内公务接待的批次、人数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2017年发生公务接待费0.4万元，国内公务接待37人次。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5.重点绩效评价结果等预算绩效情况说明。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2017年决算，无实行绩效目标管理的项目。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9BD5D"/>
    <w:multiLevelType w:val="singleLevel"/>
    <w:tmpl w:val="9CD9BD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90CB9"/>
    <w:rsid w:val="1196479F"/>
    <w:rsid w:val="19C90CB9"/>
    <w:rsid w:val="2AE31206"/>
    <w:rsid w:val="422B0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2019-02-12T08:08:00Z</dcterms:created>
  <dc:creator>掌心1425522560</dc:creator>
  <cp:lastModifiedBy>掌心1425522560</cp:lastModifiedBy>
  <cp:lastPrinted>2019-02-12T08:36:00Z</cp:lastPrinted>
  <dcterms:modified xsi:type="dcterms:W3CDTF">2019-02-12T09:09:04Z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