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BE" w:rsidRDefault="00FD49BE">
      <w:pPr>
        <w:spacing w:line="640" w:lineRule="exact"/>
        <w:jc w:val="center"/>
        <w:rPr>
          <w:rFonts w:ascii="黑体" w:eastAsia="黑体"/>
          <w:b/>
          <w:sz w:val="48"/>
          <w:szCs w:val="48"/>
        </w:rPr>
      </w:pPr>
    </w:p>
    <w:p w:rsidR="00FD49BE" w:rsidRDefault="00FD49BE">
      <w:pPr>
        <w:spacing w:line="640" w:lineRule="exact"/>
        <w:jc w:val="center"/>
        <w:rPr>
          <w:rFonts w:ascii="黑体" w:eastAsia="黑体"/>
          <w:b/>
          <w:sz w:val="48"/>
          <w:szCs w:val="48"/>
        </w:rPr>
      </w:pPr>
    </w:p>
    <w:p w:rsidR="00FD49BE" w:rsidRDefault="00FD49BE">
      <w:pPr>
        <w:spacing w:line="640" w:lineRule="exact"/>
        <w:jc w:val="center"/>
        <w:rPr>
          <w:rFonts w:ascii="黑体" w:eastAsia="黑体"/>
          <w:b/>
          <w:sz w:val="48"/>
          <w:szCs w:val="48"/>
        </w:rPr>
      </w:pPr>
    </w:p>
    <w:p w:rsidR="00FD49BE" w:rsidRDefault="00FD49BE">
      <w:pPr>
        <w:spacing w:line="640" w:lineRule="exact"/>
        <w:jc w:val="center"/>
        <w:rPr>
          <w:rFonts w:ascii="黑体" w:eastAsia="黑体"/>
          <w:b/>
          <w:sz w:val="48"/>
          <w:szCs w:val="48"/>
        </w:rPr>
      </w:pPr>
    </w:p>
    <w:p w:rsidR="00FD49BE" w:rsidRDefault="00FD49BE">
      <w:pPr>
        <w:spacing w:line="640" w:lineRule="exact"/>
        <w:jc w:val="center"/>
        <w:rPr>
          <w:rFonts w:ascii="黑体" w:eastAsia="黑体"/>
          <w:b/>
          <w:sz w:val="48"/>
          <w:szCs w:val="48"/>
        </w:rPr>
      </w:pPr>
    </w:p>
    <w:p w:rsidR="00FD49BE" w:rsidRDefault="00FD49BE">
      <w:pPr>
        <w:spacing w:line="640" w:lineRule="exact"/>
        <w:jc w:val="center"/>
        <w:rPr>
          <w:rFonts w:ascii="黑体" w:eastAsia="黑体"/>
          <w:b/>
          <w:sz w:val="48"/>
          <w:szCs w:val="48"/>
        </w:rPr>
      </w:pPr>
      <w:r>
        <w:rPr>
          <w:rFonts w:ascii="黑体" w:eastAsia="黑体" w:hint="eastAsia"/>
          <w:b/>
          <w:sz w:val="48"/>
          <w:szCs w:val="48"/>
        </w:rPr>
        <w:t>平凉市妇女联合会</w:t>
      </w:r>
      <w:r>
        <w:rPr>
          <w:rFonts w:ascii="黑体" w:eastAsia="黑体"/>
          <w:b/>
          <w:sz w:val="48"/>
          <w:szCs w:val="48"/>
        </w:rPr>
        <w:t>2018</w:t>
      </w:r>
      <w:r>
        <w:rPr>
          <w:rFonts w:ascii="黑体" w:eastAsia="黑体" w:hint="eastAsia"/>
          <w:b/>
          <w:sz w:val="48"/>
          <w:szCs w:val="48"/>
        </w:rPr>
        <w:t>年部门预算</w:t>
      </w:r>
    </w:p>
    <w:p w:rsidR="00FD49BE" w:rsidRDefault="00FD49BE">
      <w:pPr>
        <w:spacing w:line="640" w:lineRule="exact"/>
        <w:jc w:val="center"/>
        <w:rPr>
          <w:rFonts w:ascii="黑体" w:eastAsia="黑体"/>
          <w:b/>
          <w:sz w:val="48"/>
          <w:szCs w:val="48"/>
        </w:rPr>
      </w:pPr>
      <w:r>
        <w:rPr>
          <w:rFonts w:ascii="黑体" w:eastAsia="黑体" w:hint="eastAsia"/>
          <w:b/>
          <w:sz w:val="48"/>
          <w:szCs w:val="48"/>
        </w:rPr>
        <w:t>补充公开说明</w:t>
      </w:r>
    </w:p>
    <w:p w:rsidR="00FD49BE" w:rsidRDefault="00FD49BE" w:rsidP="002177F0">
      <w:pPr>
        <w:spacing w:line="640" w:lineRule="exact"/>
        <w:ind w:firstLineChars="200" w:firstLine="720"/>
        <w:rPr>
          <w:sz w:val="36"/>
          <w:szCs w:val="36"/>
        </w:rPr>
      </w:pPr>
    </w:p>
    <w:p w:rsidR="00FD49BE" w:rsidRDefault="002177F0" w:rsidP="002177F0">
      <w:pPr>
        <w:spacing w:line="600" w:lineRule="exact"/>
        <w:ind w:firstLineChars="200" w:firstLine="643"/>
        <w:rPr>
          <w:rFonts w:ascii="仿宋" w:eastAsia="仿宋"/>
          <w:sz w:val="32"/>
          <w:szCs w:val="32"/>
        </w:rPr>
      </w:pPr>
      <w:bookmarkStart w:id="0" w:name="_GoBack"/>
      <w:bookmarkEnd w:id="0"/>
      <w:r>
        <w:rPr>
          <w:rFonts w:ascii="黑体" w:eastAsia="黑体" w:hint="eastAsia"/>
          <w:b/>
          <w:sz w:val="32"/>
          <w:szCs w:val="32"/>
        </w:rPr>
        <w:t>一</w:t>
      </w:r>
      <w:r w:rsidR="00FD49BE">
        <w:rPr>
          <w:rFonts w:ascii="黑体" w:eastAsia="黑体" w:hint="eastAsia"/>
          <w:b/>
          <w:sz w:val="32"/>
          <w:szCs w:val="32"/>
        </w:rPr>
        <w:t>、名词解释</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财政拨款收入：</w:t>
      </w:r>
      <w:r>
        <w:rPr>
          <w:rFonts w:ascii="仿宋" w:eastAsia="仿宋" w:hint="eastAsia"/>
          <w:sz w:val="32"/>
          <w:szCs w:val="32"/>
        </w:rPr>
        <w:t>指市级财政当年拨付的资金。</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事业收入：</w:t>
      </w:r>
      <w:r>
        <w:rPr>
          <w:rFonts w:ascii="仿宋" w:eastAsia="仿宋" w:hint="eastAsia"/>
          <w:sz w:val="32"/>
          <w:szCs w:val="32"/>
        </w:rPr>
        <w:t>事业收入是指事业单位开展专业业务活动及辅助活动所取得的收入。</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经营收入：</w:t>
      </w:r>
      <w:r>
        <w:rPr>
          <w:rFonts w:ascii="仿宋" w:eastAsia="仿宋" w:hint="eastAsia"/>
          <w:sz w:val="32"/>
          <w:szCs w:val="32"/>
        </w:rPr>
        <w:t>事业单位在专业业务活动及其辅助活动之外开展非独立核算经营活动取得的收入。</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其他收入：</w:t>
      </w:r>
      <w:r>
        <w:rPr>
          <w:rFonts w:ascii="仿宋" w:eastAsia="仿宋" w:hint="eastAsia"/>
          <w:sz w:val="32"/>
          <w:szCs w:val="32"/>
        </w:rPr>
        <w:t>指除上述“财政拨款收入”、“事业收入”、“经营收入”以外的收入。</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用事业基金弥补收支差额：</w:t>
      </w:r>
      <w:r>
        <w:rPr>
          <w:rFonts w:ascii="仿宋" w:eastAsia="仿宋"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lastRenderedPageBreak/>
        <w:t>一般公共服务：</w:t>
      </w:r>
      <w:r>
        <w:rPr>
          <w:rFonts w:ascii="仿宋" w:eastAsia="仿宋" w:hint="eastAsia"/>
          <w:sz w:val="32"/>
          <w:szCs w:val="32"/>
        </w:rPr>
        <w:t>指市委组织部用于保障机构正常运行、开展财政管理活动的支出。</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社会保障和就业：</w:t>
      </w:r>
      <w:r>
        <w:rPr>
          <w:rFonts w:ascii="仿宋" w:eastAsia="仿宋" w:hint="eastAsia"/>
          <w:sz w:val="32"/>
          <w:szCs w:val="32"/>
        </w:rPr>
        <w:t>指市委组织部用于离退休人员的经费。</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住房保障支出：</w:t>
      </w:r>
      <w:r>
        <w:rPr>
          <w:rFonts w:ascii="仿宋" w:eastAsia="仿宋" w:hint="eastAsia"/>
          <w:sz w:val="32"/>
          <w:szCs w:val="32"/>
        </w:rPr>
        <w:t>指按照国家政策规定用于住房改革方面的支出。</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住房公积金：</w:t>
      </w:r>
      <w:r>
        <w:rPr>
          <w:rFonts w:ascii="仿宋" w:eastAsia="仿宋" w:hint="eastAsia"/>
          <w:sz w:val="32"/>
          <w:szCs w:val="32"/>
        </w:rPr>
        <w:t>指按照国家统一规定，依据市上确定的比例为在职职工缴存的长期住房储金。</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基本支出：</w:t>
      </w:r>
      <w:r>
        <w:rPr>
          <w:rFonts w:ascii="仿宋" w:eastAsia="仿宋" w:hint="eastAsia"/>
          <w:sz w:val="32"/>
          <w:szCs w:val="32"/>
        </w:rPr>
        <w:t>指为保障机构正常运转、完成日常工作任务而发生的人员支出和公用支出。</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项目支出：</w:t>
      </w:r>
      <w:r>
        <w:rPr>
          <w:rFonts w:ascii="仿宋" w:eastAsia="仿宋" w:hint="eastAsia"/>
          <w:sz w:val="32"/>
          <w:szCs w:val="32"/>
        </w:rPr>
        <w:t>指在基本支出之外为完成特定行政任务和事业发展目标所发生的支出。</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三公经费：</w:t>
      </w:r>
      <w:r>
        <w:rPr>
          <w:rFonts w:ascii="仿宋" w:eastAsia="仿宋" w:hint="eastAsia"/>
          <w:sz w:val="32"/>
          <w:szCs w:val="32"/>
        </w:rPr>
        <w:t>是指市级部门用财政拨款安排的因公出国（境）费，公务用车购置及运行费和公务接费。</w:t>
      </w:r>
    </w:p>
    <w:p w:rsidR="00FD49BE" w:rsidRDefault="00FD49BE" w:rsidP="002177F0">
      <w:pPr>
        <w:spacing w:line="480" w:lineRule="auto"/>
        <w:ind w:firstLineChars="200" w:firstLine="643"/>
        <w:textAlignment w:val="baseline"/>
        <w:rPr>
          <w:rFonts w:ascii="仿宋" w:eastAsia="仿宋"/>
          <w:sz w:val="32"/>
          <w:szCs w:val="32"/>
        </w:rPr>
      </w:pPr>
      <w:r>
        <w:rPr>
          <w:rFonts w:ascii="仿宋" w:eastAsia="仿宋" w:hint="eastAsia"/>
          <w:b/>
          <w:bCs/>
          <w:sz w:val="32"/>
          <w:szCs w:val="32"/>
        </w:rPr>
        <w:t>机关运行经费：</w:t>
      </w:r>
      <w:r>
        <w:rPr>
          <w:rFonts w:ascii="仿宋" w:eastAsia="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 w:eastAsia="仿宋"/>
          <w:sz w:val="32"/>
          <w:szCs w:val="32"/>
        </w:rPr>
        <w:t>.</w:t>
      </w:r>
    </w:p>
    <w:p w:rsidR="00FD49BE" w:rsidRDefault="002177F0" w:rsidP="002177F0">
      <w:pPr>
        <w:spacing w:line="640" w:lineRule="exact"/>
        <w:ind w:firstLineChars="200" w:firstLine="643"/>
        <w:rPr>
          <w:rFonts w:ascii="黑体" w:eastAsia="黑体"/>
          <w:b/>
          <w:sz w:val="32"/>
          <w:szCs w:val="32"/>
        </w:rPr>
      </w:pPr>
      <w:r>
        <w:rPr>
          <w:rFonts w:ascii="黑体" w:eastAsia="黑体" w:hint="eastAsia"/>
          <w:b/>
          <w:sz w:val="32"/>
          <w:szCs w:val="32"/>
        </w:rPr>
        <w:t>二</w:t>
      </w:r>
      <w:r w:rsidR="00FD49BE">
        <w:rPr>
          <w:rFonts w:ascii="黑体" w:eastAsia="黑体" w:hint="eastAsia"/>
          <w:b/>
          <w:sz w:val="32"/>
          <w:szCs w:val="32"/>
        </w:rPr>
        <w:t>、关于国有资产占用情况的说明</w:t>
      </w:r>
    </w:p>
    <w:p w:rsidR="00FD49BE" w:rsidRDefault="00FD49BE" w:rsidP="002177F0">
      <w:pPr>
        <w:spacing w:line="480" w:lineRule="auto"/>
        <w:ind w:firstLineChars="200" w:firstLine="640"/>
        <w:textAlignment w:val="baseline"/>
        <w:rPr>
          <w:rFonts w:ascii="仿宋" w:eastAsia="仿宋"/>
          <w:sz w:val="32"/>
          <w:szCs w:val="32"/>
        </w:rPr>
      </w:pPr>
      <w:r>
        <w:rPr>
          <w:rFonts w:ascii="仿宋" w:eastAsia="仿宋" w:hint="eastAsia"/>
          <w:sz w:val="32"/>
          <w:szCs w:val="32"/>
        </w:rPr>
        <w:lastRenderedPageBreak/>
        <w:t>截止</w:t>
      </w:r>
      <w:r>
        <w:rPr>
          <w:rFonts w:ascii="仿宋" w:eastAsia="仿宋"/>
          <w:sz w:val="32"/>
          <w:szCs w:val="32"/>
        </w:rPr>
        <w:t>2018</w:t>
      </w:r>
      <w:r>
        <w:rPr>
          <w:rFonts w:ascii="仿宋" w:eastAsia="仿宋" w:hint="eastAsia"/>
          <w:sz w:val="32"/>
          <w:szCs w:val="32"/>
        </w:rPr>
        <w:t>年初，市妇联部固定资产总额为</w:t>
      </w:r>
      <w:r>
        <w:rPr>
          <w:rFonts w:ascii="仿宋" w:eastAsia="仿宋"/>
          <w:sz w:val="32"/>
          <w:szCs w:val="32"/>
        </w:rPr>
        <w:t>17.43</w:t>
      </w:r>
      <w:r>
        <w:rPr>
          <w:rFonts w:ascii="仿宋" w:eastAsia="仿宋" w:hint="eastAsia"/>
          <w:sz w:val="32"/>
          <w:szCs w:val="32"/>
        </w:rPr>
        <w:t>万元；主要是一辆公务用车</w:t>
      </w:r>
      <w:r>
        <w:rPr>
          <w:rFonts w:ascii="仿宋" w:eastAsia="仿宋"/>
          <w:sz w:val="32"/>
          <w:szCs w:val="32"/>
        </w:rPr>
        <w:t>22.77</w:t>
      </w:r>
      <w:r>
        <w:rPr>
          <w:rFonts w:ascii="仿宋" w:eastAsia="仿宋" w:hint="eastAsia"/>
          <w:sz w:val="32"/>
          <w:szCs w:val="32"/>
        </w:rPr>
        <w:t>万元已移交平台下账。</w:t>
      </w:r>
      <w:r>
        <w:rPr>
          <w:rFonts w:hint="eastAsia"/>
          <w:sz w:val="32"/>
          <w:szCs w:val="32"/>
        </w:rPr>
        <w:t>单位价值</w:t>
      </w:r>
      <w:r>
        <w:rPr>
          <w:sz w:val="32"/>
          <w:szCs w:val="32"/>
        </w:rPr>
        <w:t>50</w:t>
      </w:r>
      <w:r>
        <w:rPr>
          <w:rFonts w:hint="eastAsia"/>
          <w:sz w:val="32"/>
          <w:szCs w:val="32"/>
        </w:rPr>
        <w:t>万元以上通用设备没有，单价</w:t>
      </w:r>
      <w:r>
        <w:rPr>
          <w:sz w:val="32"/>
          <w:szCs w:val="32"/>
        </w:rPr>
        <w:t>100</w:t>
      </w:r>
      <w:r>
        <w:rPr>
          <w:rFonts w:hint="eastAsia"/>
          <w:sz w:val="32"/>
          <w:szCs w:val="32"/>
        </w:rPr>
        <w:t>万元以上专用设备没有。</w:t>
      </w:r>
    </w:p>
    <w:p w:rsidR="00FD49BE" w:rsidRDefault="002177F0" w:rsidP="002177F0">
      <w:pPr>
        <w:spacing w:line="640" w:lineRule="exact"/>
        <w:ind w:firstLineChars="200" w:firstLine="643"/>
        <w:rPr>
          <w:rFonts w:ascii="黑体" w:eastAsia="黑体"/>
          <w:b/>
          <w:sz w:val="32"/>
          <w:szCs w:val="32"/>
        </w:rPr>
      </w:pPr>
      <w:r>
        <w:rPr>
          <w:rFonts w:ascii="黑体" w:eastAsia="黑体" w:hint="eastAsia"/>
          <w:b/>
          <w:sz w:val="32"/>
          <w:szCs w:val="32"/>
        </w:rPr>
        <w:t>三</w:t>
      </w:r>
      <w:r w:rsidR="00FD49BE">
        <w:rPr>
          <w:rFonts w:ascii="黑体" w:eastAsia="黑体" w:hint="eastAsia"/>
          <w:b/>
          <w:sz w:val="32"/>
          <w:szCs w:val="32"/>
        </w:rPr>
        <w:t>、关于预算绩效情况的说明</w:t>
      </w:r>
    </w:p>
    <w:p w:rsidR="00FD49BE" w:rsidRDefault="00FD49BE" w:rsidP="002177F0">
      <w:pPr>
        <w:spacing w:line="480" w:lineRule="auto"/>
        <w:ind w:firstLineChars="200" w:firstLine="640"/>
        <w:textAlignment w:val="baseline"/>
        <w:rPr>
          <w:rFonts w:ascii="仿宋" w:eastAsia="仿宋"/>
          <w:sz w:val="32"/>
          <w:szCs w:val="32"/>
        </w:rPr>
      </w:pPr>
      <w:r>
        <w:rPr>
          <w:rFonts w:ascii="仿宋" w:eastAsia="仿宋" w:hint="eastAsia"/>
          <w:sz w:val="32"/>
          <w:szCs w:val="32"/>
        </w:rPr>
        <w:t>我单位所有支出均为基本支出，没有涉及绩效管理项目，故没有进行绩效评价。</w:t>
      </w:r>
    </w:p>
    <w:p w:rsidR="00FD49BE" w:rsidRDefault="002177F0" w:rsidP="002177F0">
      <w:pPr>
        <w:spacing w:line="640" w:lineRule="exact"/>
        <w:ind w:firstLineChars="200" w:firstLine="643"/>
        <w:rPr>
          <w:rFonts w:ascii="黑体" w:eastAsia="黑体"/>
          <w:b/>
          <w:sz w:val="32"/>
          <w:szCs w:val="32"/>
        </w:rPr>
      </w:pPr>
      <w:r>
        <w:rPr>
          <w:rFonts w:ascii="黑体" w:eastAsia="黑体" w:hint="eastAsia"/>
          <w:b/>
          <w:sz w:val="32"/>
          <w:szCs w:val="32"/>
        </w:rPr>
        <w:t>四</w:t>
      </w:r>
      <w:r w:rsidR="00FD49BE">
        <w:rPr>
          <w:rFonts w:ascii="黑体" w:eastAsia="黑体" w:hint="eastAsia"/>
          <w:b/>
          <w:sz w:val="32"/>
          <w:szCs w:val="32"/>
        </w:rPr>
        <w:t>、部门一般性支出财政拨款情况</w:t>
      </w:r>
    </w:p>
    <w:p w:rsidR="00FD49BE" w:rsidRDefault="00FD49BE" w:rsidP="002177F0">
      <w:pPr>
        <w:widowControl/>
        <w:spacing w:line="600" w:lineRule="exact"/>
        <w:ind w:firstLineChars="200" w:firstLine="640"/>
        <w:jc w:val="left"/>
        <w:rPr>
          <w:rFonts w:hAnsi="宋体" w:cs="宋体"/>
          <w:sz w:val="32"/>
          <w:szCs w:val="32"/>
        </w:rPr>
      </w:pPr>
      <w:r>
        <w:rPr>
          <w:rFonts w:hAnsi="宋体" w:cs="宋体"/>
          <w:sz w:val="32"/>
          <w:szCs w:val="32"/>
        </w:rPr>
        <w:t>1.</w:t>
      </w:r>
      <w:r>
        <w:rPr>
          <w:rFonts w:hAnsi="宋体" w:cs="宋体" w:hint="eastAsia"/>
          <w:sz w:val="32"/>
          <w:szCs w:val="32"/>
        </w:rPr>
        <w:t>因公出国（境）费用</w:t>
      </w:r>
      <w:r>
        <w:rPr>
          <w:rFonts w:hAnsi="宋体" w:cs="宋体"/>
          <w:sz w:val="32"/>
          <w:szCs w:val="32"/>
        </w:rPr>
        <w:t>0</w:t>
      </w:r>
      <w:r>
        <w:rPr>
          <w:rFonts w:hAnsi="宋体" w:cs="宋体" w:hint="eastAsia"/>
          <w:sz w:val="32"/>
          <w:szCs w:val="32"/>
        </w:rPr>
        <w:t>万元，</w:t>
      </w:r>
      <w:r>
        <w:rPr>
          <w:rFonts w:hAnsi="宋体" w:cs="宋体"/>
          <w:sz w:val="32"/>
          <w:szCs w:val="32"/>
        </w:rPr>
        <w:t>2018</w:t>
      </w:r>
      <w:r>
        <w:rPr>
          <w:rFonts w:hAnsi="宋体" w:cs="宋体" w:hint="eastAsia"/>
          <w:sz w:val="32"/>
          <w:szCs w:val="32"/>
        </w:rPr>
        <w:t>年市妇联未计划出国处境人员</w:t>
      </w:r>
      <w:r w:rsidR="002177F0">
        <w:rPr>
          <w:rFonts w:hAnsi="宋体" w:cs="宋体" w:hint="eastAsia"/>
          <w:sz w:val="32"/>
          <w:szCs w:val="32"/>
        </w:rPr>
        <w:t>，与上年相比没有变化</w:t>
      </w:r>
      <w:r>
        <w:rPr>
          <w:rFonts w:hAnsi="宋体" w:cs="宋体" w:hint="eastAsia"/>
          <w:sz w:val="32"/>
          <w:szCs w:val="32"/>
        </w:rPr>
        <w:t>。</w:t>
      </w:r>
    </w:p>
    <w:p w:rsidR="00FD49BE" w:rsidRDefault="00FD49BE" w:rsidP="002177F0">
      <w:pPr>
        <w:widowControl/>
        <w:spacing w:line="600" w:lineRule="exact"/>
        <w:ind w:firstLineChars="200" w:firstLine="640"/>
        <w:jc w:val="left"/>
        <w:rPr>
          <w:rFonts w:hAnsi="宋体" w:cs="宋体"/>
          <w:sz w:val="32"/>
          <w:szCs w:val="32"/>
        </w:rPr>
      </w:pPr>
      <w:r>
        <w:rPr>
          <w:rFonts w:hAnsi="宋体" w:cs="宋体"/>
          <w:sz w:val="32"/>
          <w:szCs w:val="32"/>
        </w:rPr>
        <w:t>2.</w:t>
      </w:r>
      <w:r>
        <w:rPr>
          <w:rFonts w:hAnsi="宋体" w:cs="宋体" w:hint="eastAsia"/>
          <w:sz w:val="32"/>
          <w:szCs w:val="32"/>
        </w:rPr>
        <w:t>公务接待费</w:t>
      </w:r>
      <w:r>
        <w:rPr>
          <w:rFonts w:hAnsi="宋体" w:cs="宋体"/>
          <w:sz w:val="32"/>
          <w:szCs w:val="32"/>
        </w:rPr>
        <w:t>0</w:t>
      </w:r>
      <w:r>
        <w:rPr>
          <w:rFonts w:hAnsi="宋体" w:cs="宋体" w:hint="eastAsia"/>
          <w:sz w:val="32"/>
          <w:szCs w:val="32"/>
        </w:rPr>
        <w:t>万元，</w:t>
      </w:r>
      <w:r>
        <w:rPr>
          <w:rFonts w:hAnsi="宋体" w:cs="宋体"/>
          <w:sz w:val="32"/>
          <w:szCs w:val="32"/>
        </w:rPr>
        <w:t>2018</w:t>
      </w:r>
      <w:r>
        <w:rPr>
          <w:rFonts w:hAnsi="宋体" w:cs="宋体" w:hint="eastAsia"/>
          <w:sz w:val="32"/>
          <w:szCs w:val="32"/>
        </w:rPr>
        <w:t>年市妇联未列支各类公务接待支出</w:t>
      </w:r>
      <w:r w:rsidR="002177F0">
        <w:rPr>
          <w:rFonts w:hAnsi="宋体" w:cs="宋体" w:hint="eastAsia"/>
          <w:sz w:val="32"/>
          <w:szCs w:val="32"/>
        </w:rPr>
        <w:t>，与上年相比没有变化</w:t>
      </w:r>
      <w:r>
        <w:rPr>
          <w:rFonts w:hAnsi="宋体" w:cs="宋体" w:hint="eastAsia"/>
          <w:sz w:val="32"/>
          <w:szCs w:val="32"/>
        </w:rPr>
        <w:t>。</w:t>
      </w:r>
    </w:p>
    <w:p w:rsidR="00FD49BE" w:rsidRDefault="00FD49BE" w:rsidP="002177F0">
      <w:pPr>
        <w:widowControl/>
        <w:spacing w:line="600" w:lineRule="exact"/>
        <w:ind w:firstLineChars="200" w:firstLine="640"/>
        <w:jc w:val="left"/>
        <w:rPr>
          <w:rFonts w:hAnsi="宋体" w:cs="宋体"/>
          <w:sz w:val="32"/>
          <w:szCs w:val="32"/>
        </w:rPr>
      </w:pPr>
      <w:r>
        <w:rPr>
          <w:rFonts w:hAnsi="宋体" w:cs="宋体"/>
          <w:sz w:val="32"/>
          <w:szCs w:val="32"/>
        </w:rPr>
        <w:t>3.</w:t>
      </w:r>
      <w:r>
        <w:rPr>
          <w:rFonts w:hAnsi="宋体" w:cs="宋体" w:hint="eastAsia"/>
          <w:sz w:val="32"/>
          <w:szCs w:val="32"/>
        </w:rPr>
        <w:t>公务用车购置费</w:t>
      </w:r>
      <w:r>
        <w:rPr>
          <w:rFonts w:hAnsi="宋体" w:cs="宋体"/>
          <w:sz w:val="32"/>
          <w:szCs w:val="32"/>
        </w:rPr>
        <w:t>0</w:t>
      </w:r>
      <w:r>
        <w:rPr>
          <w:rFonts w:hAnsi="宋体" w:cs="宋体" w:hint="eastAsia"/>
          <w:sz w:val="32"/>
          <w:szCs w:val="32"/>
        </w:rPr>
        <w:t>万元，</w:t>
      </w:r>
      <w:r>
        <w:rPr>
          <w:rFonts w:hAnsi="宋体" w:cs="宋体"/>
          <w:sz w:val="32"/>
          <w:szCs w:val="32"/>
        </w:rPr>
        <w:t>2018</w:t>
      </w:r>
      <w:r>
        <w:rPr>
          <w:rFonts w:hAnsi="宋体" w:cs="宋体" w:hint="eastAsia"/>
          <w:sz w:val="32"/>
          <w:szCs w:val="32"/>
        </w:rPr>
        <w:t>年市妇联公务用车已上交无公务用车</w:t>
      </w:r>
      <w:r w:rsidR="002177F0">
        <w:rPr>
          <w:rFonts w:hAnsi="宋体" w:cs="宋体" w:hint="eastAsia"/>
          <w:sz w:val="32"/>
          <w:szCs w:val="32"/>
        </w:rPr>
        <w:t>，与上年相比没有变化</w:t>
      </w:r>
      <w:r>
        <w:rPr>
          <w:rFonts w:hAnsi="宋体" w:cs="宋体" w:hint="eastAsia"/>
          <w:sz w:val="32"/>
          <w:szCs w:val="32"/>
        </w:rPr>
        <w:t>。</w:t>
      </w:r>
    </w:p>
    <w:p w:rsidR="00FD49BE" w:rsidRDefault="00FD49BE" w:rsidP="002177F0">
      <w:pPr>
        <w:widowControl/>
        <w:spacing w:line="600" w:lineRule="exact"/>
        <w:ind w:firstLineChars="200" w:firstLine="640"/>
        <w:jc w:val="left"/>
        <w:rPr>
          <w:rFonts w:hAnsi="宋体" w:cs="宋体"/>
          <w:sz w:val="32"/>
          <w:szCs w:val="32"/>
        </w:rPr>
      </w:pPr>
    </w:p>
    <w:p w:rsidR="00FD49BE" w:rsidRDefault="00FD49BE" w:rsidP="002177F0">
      <w:pPr>
        <w:widowControl/>
        <w:spacing w:line="600" w:lineRule="exact"/>
        <w:ind w:firstLineChars="200" w:firstLine="640"/>
        <w:jc w:val="left"/>
        <w:rPr>
          <w:rFonts w:hAnsi="宋体" w:cs="宋体"/>
          <w:sz w:val="32"/>
          <w:szCs w:val="32"/>
        </w:rPr>
      </w:pPr>
    </w:p>
    <w:p w:rsidR="00FD49BE" w:rsidRDefault="00FD49BE" w:rsidP="002177F0">
      <w:pPr>
        <w:widowControl/>
        <w:spacing w:line="600" w:lineRule="exact"/>
        <w:ind w:firstLineChars="200" w:firstLine="640"/>
        <w:jc w:val="left"/>
        <w:rPr>
          <w:rFonts w:hAnsi="宋体" w:cs="宋体"/>
          <w:sz w:val="32"/>
          <w:szCs w:val="32"/>
        </w:rPr>
      </w:pPr>
    </w:p>
    <w:p w:rsidR="00FD49BE" w:rsidRDefault="00FD49BE" w:rsidP="002177F0">
      <w:pPr>
        <w:widowControl/>
        <w:spacing w:line="600" w:lineRule="exact"/>
        <w:ind w:firstLineChars="1400" w:firstLine="4480"/>
        <w:jc w:val="left"/>
        <w:rPr>
          <w:rFonts w:hAnsi="宋体" w:cs="宋体"/>
          <w:sz w:val="32"/>
          <w:szCs w:val="32"/>
        </w:rPr>
      </w:pPr>
      <w:r>
        <w:rPr>
          <w:rFonts w:hAnsi="宋体" w:cs="宋体"/>
          <w:sz w:val="32"/>
          <w:szCs w:val="32"/>
        </w:rPr>
        <w:t>2019</w:t>
      </w:r>
      <w:r>
        <w:rPr>
          <w:rFonts w:hAnsi="宋体" w:cs="宋体" w:hint="eastAsia"/>
          <w:sz w:val="32"/>
          <w:szCs w:val="32"/>
        </w:rPr>
        <w:t>年</w:t>
      </w:r>
      <w:r>
        <w:rPr>
          <w:rFonts w:hAnsi="宋体" w:cs="宋体"/>
          <w:sz w:val="32"/>
          <w:szCs w:val="32"/>
        </w:rPr>
        <w:t>2</w:t>
      </w:r>
      <w:r>
        <w:rPr>
          <w:rFonts w:hAnsi="宋体" w:cs="宋体" w:hint="eastAsia"/>
          <w:sz w:val="32"/>
          <w:szCs w:val="32"/>
        </w:rPr>
        <w:t>月</w:t>
      </w:r>
      <w:r>
        <w:rPr>
          <w:rFonts w:hAnsi="宋体" w:cs="宋体"/>
          <w:sz w:val="32"/>
          <w:szCs w:val="32"/>
        </w:rPr>
        <w:t>15</w:t>
      </w:r>
      <w:r>
        <w:rPr>
          <w:rFonts w:hAnsi="宋体" w:cs="宋体" w:hint="eastAsia"/>
          <w:sz w:val="32"/>
          <w:szCs w:val="32"/>
        </w:rPr>
        <w:t>日</w:t>
      </w:r>
    </w:p>
    <w:p w:rsidR="00FD49BE" w:rsidRDefault="00FD49BE" w:rsidP="002177F0">
      <w:pPr>
        <w:spacing w:line="480" w:lineRule="auto"/>
        <w:ind w:firstLineChars="200" w:firstLine="640"/>
        <w:textAlignment w:val="baseline"/>
        <w:rPr>
          <w:rFonts w:ascii="仿宋" w:eastAsia="仿宋"/>
          <w:sz w:val="32"/>
          <w:szCs w:val="32"/>
        </w:rPr>
      </w:pPr>
    </w:p>
    <w:p w:rsidR="00FD49BE" w:rsidRDefault="00FD49BE" w:rsidP="00533CDF">
      <w:pPr>
        <w:spacing w:line="480" w:lineRule="auto"/>
        <w:ind w:firstLineChars="200" w:firstLine="640"/>
        <w:textAlignment w:val="baseline"/>
        <w:rPr>
          <w:rFonts w:ascii="仿宋" w:eastAsia="仿宋"/>
          <w:sz w:val="32"/>
          <w:szCs w:val="32"/>
        </w:rPr>
      </w:pPr>
    </w:p>
    <w:sectPr w:rsidR="00FD49BE" w:rsidSect="008E115B">
      <w:pgSz w:w="11907" w:h="16839"/>
      <w:pgMar w:top="1440" w:right="1800" w:bottom="1440" w:left="180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057" w:rsidRDefault="00DF5057" w:rsidP="002177F0">
      <w:r>
        <w:separator/>
      </w:r>
    </w:p>
  </w:endnote>
  <w:endnote w:type="continuationSeparator" w:id="1">
    <w:p w:rsidR="00DF5057" w:rsidRDefault="00DF5057" w:rsidP="00217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057" w:rsidRDefault="00DF5057" w:rsidP="002177F0">
      <w:r>
        <w:separator/>
      </w:r>
    </w:p>
  </w:footnote>
  <w:footnote w:type="continuationSeparator" w:id="1">
    <w:p w:rsidR="00DF5057" w:rsidRDefault="00DF5057" w:rsidP="00217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15B"/>
    <w:rsid w:val="002177F0"/>
    <w:rsid w:val="00416525"/>
    <w:rsid w:val="00533CDF"/>
    <w:rsid w:val="00804E36"/>
    <w:rsid w:val="008E115B"/>
    <w:rsid w:val="00DF5057"/>
    <w:rsid w:val="00FB0D0A"/>
    <w:rsid w:val="00FD49BE"/>
    <w:rsid w:val="0467072E"/>
    <w:rsid w:val="0F672686"/>
    <w:rsid w:val="0FCA5791"/>
    <w:rsid w:val="1DA82093"/>
    <w:rsid w:val="23703604"/>
    <w:rsid w:val="3BAC69AB"/>
    <w:rsid w:val="441008A1"/>
    <w:rsid w:val="48E90759"/>
    <w:rsid w:val="49741B13"/>
    <w:rsid w:val="4FA51CDA"/>
    <w:rsid w:val="6FDB1485"/>
    <w:rsid w:val="75A331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5B"/>
    <w:pPr>
      <w:widowControl w:val="0"/>
      <w:jc w:val="both"/>
    </w:pPr>
    <w:rPr>
      <w:rFonts w:ascii="仿宋_GB2312" w:eastAsia="仿宋_GB2312" w:hAnsi="Times New Roman"/>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8E115B"/>
    <w:rPr>
      <w:sz w:val="18"/>
      <w:szCs w:val="18"/>
    </w:rPr>
  </w:style>
  <w:style w:type="character" w:customStyle="1" w:styleId="Char">
    <w:name w:val="批注框文本 Char"/>
    <w:basedOn w:val="a0"/>
    <w:link w:val="a3"/>
    <w:uiPriority w:val="99"/>
    <w:semiHidden/>
    <w:rsid w:val="001629CA"/>
    <w:rPr>
      <w:rFonts w:ascii="仿宋_GB2312" w:eastAsia="仿宋_GB2312" w:hAnsi="Times New Roman"/>
      <w:color w:val="000000"/>
      <w:kern w:val="0"/>
      <w:sz w:val="0"/>
      <w:szCs w:val="0"/>
      <w:u w:color="000000"/>
    </w:rPr>
  </w:style>
  <w:style w:type="paragraph" w:styleId="a4">
    <w:name w:val="footer"/>
    <w:basedOn w:val="a"/>
    <w:link w:val="Char0"/>
    <w:uiPriority w:val="99"/>
    <w:rsid w:val="008E11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29CA"/>
    <w:rPr>
      <w:rFonts w:ascii="仿宋_GB2312" w:eastAsia="仿宋_GB2312" w:hAnsi="Times New Roman"/>
      <w:color w:val="000000"/>
      <w:kern w:val="0"/>
      <w:sz w:val="18"/>
      <w:szCs w:val="18"/>
      <w:u w:color="000000"/>
    </w:rPr>
  </w:style>
  <w:style w:type="paragraph" w:styleId="a5">
    <w:name w:val="header"/>
    <w:basedOn w:val="a"/>
    <w:link w:val="Char1"/>
    <w:uiPriority w:val="99"/>
    <w:rsid w:val="008E11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629CA"/>
    <w:rPr>
      <w:rFonts w:ascii="仿宋_GB2312" w:eastAsia="仿宋_GB2312" w:hAnsi="Times New Roman"/>
      <w:color w:val="000000"/>
      <w:kern w:val="0"/>
      <w:sz w:val="18"/>
      <w:szCs w:val="18"/>
      <w:u w:color="000000"/>
    </w:rPr>
  </w:style>
  <w:style w:type="paragraph" w:styleId="a6">
    <w:name w:val="Normal (Web)"/>
    <w:basedOn w:val="a"/>
    <w:uiPriority w:val="99"/>
    <w:rsid w:val="008E115B"/>
    <w:pPr>
      <w:widowControl/>
      <w:spacing w:before="100" w:beforeAutospacing="1" w:after="100" w:afterAutospacing="1"/>
      <w:jc w:val="left"/>
    </w:pPr>
    <w:rPr>
      <w:rFonts w:ascii="宋体" w:eastAsia="宋体" w:cs="宋体"/>
    </w:rPr>
  </w:style>
  <w:style w:type="character" w:styleId="a7">
    <w:name w:val="Strong"/>
    <w:basedOn w:val="a0"/>
    <w:uiPriority w:val="99"/>
    <w:qFormat/>
    <w:rsid w:val="008E115B"/>
    <w:rPr>
      <w:rFonts w:cs="Times New Roman"/>
      <w:b/>
      <w:bCs/>
    </w:rPr>
  </w:style>
  <w:style w:type="character" w:styleId="a8">
    <w:name w:val="Hyperlink"/>
    <w:basedOn w:val="a0"/>
    <w:uiPriority w:val="99"/>
    <w:rsid w:val="008E115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150</Words>
  <Characters>855</Characters>
  <Application>Microsoft Office Word</Application>
  <DocSecurity>0</DocSecurity>
  <Lines>7</Lines>
  <Paragraphs>2</Paragraphs>
  <ScaleCrop>false</ScaleCrop>
  <Company>微软中国</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17</cp:revision>
  <cp:lastPrinted>2019-02-15T00:53:00Z</cp:lastPrinted>
  <dcterms:created xsi:type="dcterms:W3CDTF">2017-03-28T09:16:00Z</dcterms:created>
  <dcterms:modified xsi:type="dcterms:W3CDTF">2019-02-15T09:18:00Z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