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ascii="方正小标宋简体" w:eastAsia="方正小标宋简体" w:cs="宋体"/>
          <w:kern w:val="0"/>
          <w:sz w:val="44"/>
          <w:szCs w:val="44"/>
          <w:shd w:val="clear" w:fill="FFFFFF" w:themeFill="background1"/>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ascii="方正小标宋简体" w:eastAsia="方正小标宋简体" w:cs="宋体"/>
          <w:kern w:val="0"/>
          <w:sz w:val="44"/>
          <w:szCs w:val="44"/>
          <w:shd w:val="clear" w:fill="FFFFFF" w:themeFill="background1"/>
        </w:rPr>
      </w:pPr>
      <w:r>
        <w:rPr>
          <w:rFonts w:ascii="方正小标宋简体" w:eastAsia="方正小标宋简体" w:cs="宋体"/>
          <w:kern w:val="0"/>
          <w:sz w:val="44"/>
          <w:szCs w:val="44"/>
          <w:shd w:val="clear" w:fill="FFFFFF" w:themeFill="background1"/>
        </w:rPr>
        <w:t>平凉市文学艺术界联合会</w:t>
      </w:r>
    </w:p>
    <w:p>
      <w:pPr>
        <w:jc w:val="center"/>
        <w:rPr>
          <w:rFonts w:hint="eastAsia" w:ascii="方正小标宋简体" w:eastAsia="方正小标宋简体" w:cs="宋体"/>
          <w:kern w:val="0"/>
          <w:sz w:val="44"/>
          <w:szCs w:val="44"/>
          <w:shd w:val="clear" w:fill="FFFFFF" w:themeFill="background1"/>
        </w:rPr>
      </w:pPr>
      <w:r>
        <w:rPr>
          <w:rFonts w:hint="eastAsia" w:ascii="方正小标宋简体" w:eastAsia="方正小标宋简体" w:cs="宋体"/>
          <w:kern w:val="0"/>
          <w:sz w:val="44"/>
          <w:szCs w:val="44"/>
          <w:shd w:val="clear" w:fill="FFFFFF" w:themeFill="background1"/>
        </w:rPr>
        <w:t>201</w:t>
      </w:r>
      <w:r>
        <w:rPr>
          <w:rFonts w:hint="eastAsia" w:ascii="方正小标宋简体" w:eastAsia="方正小标宋简体" w:cs="宋体"/>
          <w:kern w:val="0"/>
          <w:sz w:val="44"/>
          <w:szCs w:val="44"/>
          <w:shd w:val="clear" w:fill="FFFFFF" w:themeFill="background1"/>
          <w:lang w:val="en-US" w:eastAsia="zh-CN"/>
        </w:rPr>
        <w:t>8</w:t>
      </w:r>
      <w:r>
        <w:rPr>
          <w:rFonts w:hint="eastAsia" w:ascii="方正小标宋简体" w:eastAsia="方正小标宋简体" w:cs="宋体"/>
          <w:kern w:val="0"/>
          <w:sz w:val="44"/>
          <w:szCs w:val="44"/>
          <w:shd w:val="clear" w:fill="FFFFFF" w:themeFill="background1"/>
        </w:rPr>
        <w:t>年部门预算公开</w:t>
      </w:r>
      <w:r>
        <w:rPr>
          <w:rFonts w:hint="eastAsia" w:ascii="方正小标宋简体" w:eastAsia="方正小标宋简体" w:cs="宋体"/>
          <w:kern w:val="0"/>
          <w:sz w:val="44"/>
          <w:szCs w:val="44"/>
          <w:shd w:val="clear" w:fill="FFFFFF" w:themeFill="background1"/>
          <w:lang w:val="en-US" w:eastAsia="zh-CN"/>
        </w:rPr>
        <w:t>补充</w:t>
      </w:r>
      <w:r>
        <w:rPr>
          <w:rFonts w:hint="eastAsia" w:ascii="方正小标宋简体" w:eastAsia="方正小标宋简体" w:cs="宋体"/>
          <w:kern w:val="0"/>
          <w:sz w:val="44"/>
          <w:szCs w:val="44"/>
          <w:shd w:val="clear" w:fill="FFFFFF" w:themeFill="background1"/>
        </w:rPr>
        <w:t>说明</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eastAsia="黑体" w:cs="宋体"/>
          <w:kern w:val="0"/>
          <w:sz w:val="32"/>
          <w:szCs w:val="32"/>
          <w:shd w:val="clear" w:fill="FFFFFF" w:themeFill="background1"/>
          <w:lang w:val="en-US" w:eastAsia="zh-CN"/>
        </w:rPr>
      </w:pPr>
      <w:bookmarkStart w:id="0" w:name="_GoBack"/>
      <w:bookmarkEnd w:id="0"/>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eastAsia="黑体" w:cs="宋体"/>
          <w:kern w:val="0"/>
          <w:sz w:val="32"/>
          <w:szCs w:val="32"/>
          <w:shd w:val="clear" w:fill="FFFFFF" w:themeFill="background1"/>
          <w:lang w:val="en-US" w:eastAsia="zh-CN"/>
        </w:rPr>
      </w:pPr>
      <w:r>
        <w:rPr>
          <w:rFonts w:hint="eastAsia" w:ascii="黑体" w:eastAsia="黑体" w:cs="宋体"/>
          <w:kern w:val="0"/>
          <w:sz w:val="32"/>
          <w:szCs w:val="32"/>
          <w:shd w:val="clear" w:fill="FFFFFF" w:themeFill="background1"/>
          <w:lang w:val="en-US" w:eastAsia="zh-CN"/>
        </w:rPr>
        <w:t>一、机关运行经费安排情况说明</w:t>
      </w:r>
    </w:p>
    <w:p>
      <w:pPr>
        <w:widowControl/>
        <w:spacing w:line="600" w:lineRule="exact"/>
        <w:ind w:firstLine="640" w:firstLineChars="200"/>
        <w:jc w:val="left"/>
        <w:rPr>
          <w:rFonts w:ascii="仿宋_GB2312" w:eastAsia="仿宋_GB2312" w:cs="宋体"/>
          <w:kern w:val="0"/>
          <w:sz w:val="32"/>
          <w:szCs w:val="32"/>
          <w:shd w:val="clear" w:fill="FFFFFF" w:themeFill="background1"/>
        </w:rPr>
      </w:pPr>
      <w:r>
        <w:rPr>
          <w:rFonts w:hint="eastAsia" w:ascii="仿宋_GB2312" w:eastAsia="仿宋_GB2312" w:cs="宋体"/>
          <w:kern w:val="0"/>
          <w:sz w:val="32"/>
          <w:szCs w:val="32"/>
          <w:shd w:val="clear" w:fill="FFFFFF" w:themeFill="background1"/>
        </w:rPr>
        <w:t>1.</w:t>
      </w:r>
      <w:r>
        <w:rPr>
          <w:rFonts w:hint="eastAsia" w:ascii="华文仿宋" w:hAnsi="华文仿宋" w:eastAsia="华文仿宋" w:cs="华文仿宋"/>
          <w:kern w:val="0"/>
          <w:sz w:val="32"/>
          <w:szCs w:val="32"/>
          <w:shd w:val="clear" w:fill="FFFFFF" w:themeFill="background1"/>
          <w:lang w:val="en-US" w:eastAsia="zh-CN"/>
        </w:rPr>
        <w:t>2018年没有安排因公出国（境）费用，故无因公出国（境）支出费用。</w:t>
      </w:r>
      <w:r>
        <w:rPr>
          <w:rFonts w:hint="eastAsia" w:ascii="华文仿宋" w:hAnsi="华文仿宋" w:eastAsia="华文仿宋" w:cs="华文仿宋"/>
          <w:kern w:val="0"/>
          <w:sz w:val="32"/>
          <w:szCs w:val="32"/>
          <w:shd w:val="clear" w:fill="FFFFFF" w:themeFill="background1"/>
          <w:lang w:val="en-US" w:eastAsia="zh-CN" w:bidi="ar-SA"/>
        </w:rPr>
        <w:t>与2017年相比无变化。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宋体"/>
          <w:kern w:val="0"/>
          <w:sz w:val="32"/>
          <w:szCs w:val="32"/>
          <w:shd w:val="clear" w:fill="FFFFFF" w:themeFill="background1"/>
        </w:rPr>
      </w:pPr>
      <w:r>
        <w:rPr>
          <w:rFonts w:hint="eastAsia" w:ascii="仿宋_GB2312" w:eastAsia="仿宋_GB2312" w:cs="宋体"/>
          <w:kern w:val="0"/>
          <w:sz w:val="32"/>
          <w:szCs w:val="32"/>
          <w:shd w:val="clear" w:fill="FFFFFF" w:themeFill="background1"/>
        </w:rPr>
        <w:t>2.</w:t>
      </w:r>
      <w:r>
        <w:rPr>
          <w:rFonts w:hint="eastAsia" w:ascii="仿宋_GB2312" w:eastAsia="仿宋_GB2312" w:cs="宋体"/>
          <w:kern w:val="0"/>
          <w:sz w:val="32"/>
          <w:szCs w:val="32"/>
          <w:shd w:val="clear" w:fill="FFFFFF" w:themeFill="background1"/>
          <w:lang w:val="en-US" w:eastAsia="zh-CN"/>
        </w:rPr>
        <w:t>2018年没有安排公务接待支出费用，因运行经费不足</w:t>
      </w:r>
      <w:r>
        <w:rPr>
          <w:rFonts w:hint="eastAsia" w:ascii="仿宋_GB2312" w:eastAsia="仿宋_GB2312" w:cs="宋体"/>
          <w:kern w:val="0"/>
          <w:sz w:val="32"/>
          <w:szCs w:val="32"/>
          <w:shd w:val="clear" w:fill="FFFFFF" w:themeFill="background1"/>
        </w:rPr>
        <w:t>。</w:t>
      </w:r>
      <w:r>
        <w:rPr>
          <w:rFonts w:hint="eastAsia" w:ascii="华文仿宋" w:hAnsi="华文仿宋" w:eastAsia="华文仿宋" w:cs="华文仿宋"/>
          <w:kern w:val="0"/>
          <w:sz w:val="32"/>
          <w:szCs w:val="32"/>
          <w:shd w:val="clear" w:fill="FFFFFF" w:themeFill="background1"/>
          <w:lang w:val="en-US" w:eastAsia="zh-CN" w:bidi="ar-SA"/>
        </w:rPr>
        <w:t>与2017年相比无变化。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eastAsia="仿宋_GB2312" w:cs="宋体"/>
          <w:kern w:val="0"/>
          <w:sz w:val="32"/>
          <w:szCs w:val="32"/>
          <w:shd w:val="clear" w:fill="FFFFFF" w:themeFill="background1"/>
          <w:lang w:val="en-US" w:eastAsia="zh-CN"/>
        </w:rPr>
      </w:pPr>
      <w:r>
        <w:rPr>
          <w:rFonts w:hint="eastAsia" w:ascii="华文仿宋" w:hAnsi="华文仿宋" w:eastAsia="华文仿宋" w:cs="华文仿宋"/>
          <w:kern w:val="0"/>
          <w:sz w:val="32"/>
          <w:szCs w:val="32"/>
          <w:shd w:val="clear" w:fill="FFFFFF" w:themeFill="background1"/>
          <w:lang w:val="en-US" w:eastAsia="zh-CN" w:bidi="ar-SA"/>
        </w:rPr>
        <w:t>3.因公车改革政策，公务用车购置费0万元，与2017年相比无变化。</w:t>
      </w:r>
    </w:p>
    <w:p>
      <w:pPr>
        <w:widowControl/>
        <w:spacing w:line="600" w:lineRule="exact"/>
        <w:ind w:firstLine="640" w:firstLineChars="200"/>
        <w:jc w:val="left"/>
        <w:rPr>
          <w:rFonts w:hint="eastAsia" w:ascii="仿宋_GB2312" w:eastAsia="仿宋_GB2312" w:cs="宋体"/>
          <w:kern w:val="0"/>
          <w:sz w:val="32"/>
          <w:szCs w:val="32"/>
          <w:shd w:val="clear" w:fill="FFFFFF" w:themeFill="background1"/>
        </w:rPr>
      </w:pPr>
      <w:r>
        <w:rPr>
          <w:rFonts w:hint="eastAsia" w:ascii="仿宋_GB2312" w:eastAsia="仿宋_GB2312" w:cs="宋体"/>
          <w:kern w:val="0"/>
          <w:sz w:val="32"/>
          <w:szCs w:val="32"/>
          <w:shd w:val="clear" w:fill="FFFFFF" w:themeFill="background1"/>
          <w:lang w:val="en-US" w:eastAsia="zh-CN"/>
        </w:rPr>
        <w:t>4</w:t>
      </w:r>
      <w:r>
        <w:rPr>
          <w:rFonts w:hint="eastAsia" w:ascii="仿宋_GB2312" w:eastAsia="仿宋_GB2312" w:cs="宋体"/>
          <w:kern w:val="0"/>
          <w:sz w:val="32"/>
          <w:szCs w:val="32"/>
          <w:shd w:val="clear" w:fill="FFFFFF" w:themeFill="background1"/>
        </w:rPr>
        <w:t>.</w:t>
      </w:r>
      <w:r>
        <w:rPr>
          <w:rFonts w:hint="eastAsia" w:ascii="仿宋_GB2312" w:eastAsia="仿宋_GB2312" w:cs="宋体"/>
          <w:kern w:val="0"/>
          <w:sz w:val="32"/>
          <w:szCs w:val="32"/>
          <w:shd w:val="clear" w:fill="FFFFFF" w:themeFill="background1"/>
          <w:lang w:val="en-US" w:eastAsia="zh-CN"/>
        </w:rPr>
        <w:t>2018年无公务用车支出费用，因公车改革后，车辆移交至机关事务管理局平台使用，无支出情况</w:t>
      </w:r>
      <w:r>
        <w:rPr>
          <w:rFonts w:hint="eastAsia" w:ascii="仿宋_GB2312" w:eastAsia="仿宋_GB2312" w:cs="宋体"/>
          <w:kern w:val="0"/>
          <w:sz w:val="32"/>
          <w:szCs w:val="32"/>
          <w:shd w:val="clear" w:fill="FFFFFF" w:themeFill="background1"/>
        </w:rPr>
        <w:t>。</w:t>
      </w:r>
      <w:r>
        <w:rPr>
          <w:rFonts w:hint="eastAsia" w:ascii="华文仿宋" w:hAnsi="华文仿宋" w:eastAsia="华文仿宋" w:cs="华文仿宋"/>
          <w:kern w:val="0"/>
          <w:sz w:val="32"/>
          <w:szCs w:val="32"/>
          <w:shd w:val="clear" w:fill="FFFFFF" w:themeFill="background1"/>
          <w:lang w:eastAsia="zh-CN"/>
        </w:rPr>
        <w:t>与</w:t>
      </w:r>
      <w:r>
        <w:rPr>
          <w:rFonts w:hint="eastAsia" w:ascii="华文仿宋" w:hAnsi="华文仿宋" w:eastAsia="华文仿宋" w:cs="华文仿宋"/>
          <w:kern w:val="0"/>
          <w:sz w:val="32"/>
          <w:szCs w:val="32"/>
          <w:shd w:val="clear" w:fill="FFFFFF" w:themeFill="background1"/>
        </w:rPr>
        <w:t>201</w:t>
      </w:r>
      <w:r>
        <w:rPr>
          <w:rFonts w:hint="eastAsia" w:ascii="华文仿宋" w:hAnsi="华文仿宋" w:eastAsia="华文仿宋" w:cs="华文仿宋"/>
          <w:kern w:val="0"/>
          <w:sz w:val="32"/>
          <w:szCs w:val="32"/>
          <w:shd w:val="clear" w:fill="FFFFFF" w:themeFill="background1"/>
          <w:lang w:val="en-US" w:eastAsia="zh-CN"/>
        </w:rPr>
        <w:t>7</w:t>
      </w:r>
      <w:r>
        <w:rPr>
          <w:rFonts w:hint="eastAsia" w:ascii="华文仿宋" w:hAnsi="华文仿宋" w:eastAsia="华文仿宋" w:cs="华文仿宋"/>
          <w:kern w:val="0"/>
          <w:sz w:val="32"/>
          <w:szCs w:val="32"/>
          <w:shd w:val="clear" w:fill="FFFFFF" w:themeFill="background1"/>
        </w:rPr>
        <w:t>年</w:t>
      </w:r>
      <w:r>
        <w:rPr>
          <w:rFonts w:hint="eastAsia" w:ascii="华文仿宋" w:hAnsi="华文仿宋" w:eastAsia="华文仿宋" w:cs="华文仿宋"/>
          <w:kern w:val="0"/>
          <w:sz w:val="32"/>
          <w:szCs w:val="32"/>
          <w:shd w:val="clear" w:fill="FFFFFF" w:themeFill="background1"/>
          <w:lang w:eastAsia="zh-CN"/>
        </w:rPr>
        <w:t>相比无变化。</w:t>
      </w:r>
      <w:r>
        <w:rPr>
          <w:rFonts w:hint="eastAsia" w:ascii="华文仿宋" w:hAnsi="华文仿宋" w:eastAsia="华文仿宋" w:cs="华文仿宋"/>
          <w:kern w:val="0"/>
          <w:sz w:val="32"/>
          <w:szCs w:val="32"/>
          <w:shd w:val="clear" w:fill="FFFFFF" w:themeFill="background1"/>
        </w:rPr>
        <w:t>201</w:t>
      </w:r>
      <w:r>
        <w:rPr>
          <w:rFonts w:hint="eastAsia" w:ascii="华文仿宋" w:hAnsi="华文仿宋" w:eastAsia="华文仿宋" w:cs="华文仿宋"/>
          <w:kern w:val="0"/>
          <w:sz w:val="32"/>
          <w:szCs w:val="32"/>
          <w:shd w:val="clear" w:fill="FFFFFF" w:themeFill="background1"/>
          <w:lang w:val="en-US" w:eastAsia="zh-CN"/>
        </w:rPr>
        <w:t>8</w:t>
      </w:r>
      <w:r>
        <w:rPr>
          <w:rFonts w:hint="eastAsia" w:ascii="华文仿宋" w:hAnsi="华文仿宋" w:eastAsia="华文仿宋" w:cs="华文仿宋"/>
          <w:kern w:val="0"/>
          <w:sz w:val="32"/>
          <w:szCs w:val="32"/>
          <w:shd w:val="clear" w:fill="FFFFFF" w:themeFill="background1"/>
        </w:rPr>
        <w:t>年公务用车保有量</w:t>
      </w:r>
      <w:r>
        <w:rPr>
          <w:rFonts w:hint="eastAsia" w:ascii="华文仿宋" w:hAnsi="华文仿宋" w:eastAsia="华文仿宋" w:cs="华文仿宋"/>
          <w:kern w:val="0"/>
          <w:sz w:val="32"/>
          <w:szCs w:val="32"/>
          <w:shd w:val="clear" w:fill="FFFFFF" w:themeFill="background1"/>
          <w:lang w:val="en-US" w:eastAsia="zh-CN"/>
        </w:rPr>
        <w:t>0</w:t>
      </w:r>
      <w:r>
        <w:rPr>
          <w:rFonts w:hint="eastAsia" w:ascii="华文仿宋" w:hAnsi="华文仿宋" w:eastAsia="华文仿宋" w:cs="华文仿宋"/>
          <w:kern w:val="0"/>
          <w:sz w:val="32"/>
          <w:szCs w:val="32"/>
          <w:shd w:val="clear" w:fill="FFFFFF" w:themeFill="background1"/>
        </w:rPr>
        <w:t>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宋体"/>
          <w:kern w:val="0"/>
          <w:sz w:val="32"/>
          <w:szCs w:val="32"/>
          <w:shd w:val="clear" w:fill="FFFFFF" w:themeFill="background1"/>
        </w:rPr>
      </w:pPr>
      <w:r>
        <w:rPr>
          <w:rFonts w:hint="eastAsia" w:ascii="仿宋_GB2312" w:eastAsia="仿宋_GB2312" w:cs="宋体"/>
          <w:kern w:val="0"/>
          <w:sz w:val="32"/>
          <w:szCs w:val="32"/>
          <w:shd w:val="clear" w:fill="FFFFFF" w:themeFill="background1"/>
        </w:rPr>
        <w:t>5.</w:t>
      </w:r>
      <w:r>
        <w:rPr>
          <w:rFonts w:ascii="仿宋_GB2312" w:eastAsia="仿宋_GB2312" w:cs="宋体"/>
          <w:kern w:val="0"/>
          <w:sz w:val="32"/>
          <w:szCs w:val="32"/>
          <w:shd w:val="clear" w:fill="FFFFFF" w:themeFill="background1"/>
        </w:rPr>
        <w:t>印刷</w:t>
      </w:r>
      <w:r>
        <w:rPr>
          <w:rFonts w:hint="eastAsia" w:ascii="仿宋_GB2312" w:eastAsia="仿宋_GB2312" w:cs="宋体"/>
          <w:kern w:val="0"/>
          <w:sz w:val="32"/>
          <w:szCs w:val="32"/>
          <w:shd w:val="clear" w:fill="FFFFFF" w:themeFill="background1"/>
        </w:rPr>
        <w:t>费</w:t>
      </w:r>
      <w:r>
        <w:rPr>
          <w:rFonts w:ascii="仿宋_GB2312" w:eastAsia="仿宋_GB2312" w:cs="宋体"/>
          <w:kern w:val="0"/>
          <w:sz w:val="32"/>
          <w:szCs w:val="32"/>
          <w:shd w:val="clear" w:fill="FFFFFF" w:themeFill="background1"/>
        </w:rPr>
        <w:t>6</w:t>
      </w:r>
      <w:r>
        <w:rPr>
          <w:rFonts w:hint="eastAsia" w:ascii="仿宋_GB2312" w:eastAsia="仿宋_GB2312" w:cs="宋体"/>
          <w:kern w:val="0"/>
          <w:sz w:val="32"/>
          <w:szCs w:val="32"/>
          <w:shd w:val="clear" w:fill="FFFFFF" w:themeFill="background1"/>
          <w:lang w:val="en-US" w:eastAsia="zh-CN"/>
        </w:rPr>
        <w:t>.2</w:t>
      </w:r>
      <w:r>
        <w:rPr>
          <w:rFonts w:hint="eastAsia" w:ascii="仿宋_GB2312" w:eastAsia="仿宋_GB2312" w:cs="宋体"/>
          <w:kern w:val="0"/>
          <w:sz w:val="32"/>
          <w:szCs w:val="32"/>
          <w:shd w:val="clear" w:fill="FFFFFF" w:themeFill="background1"/>
        </w:rPr>
        <w:t>万元，主要用于</w:t>
      </w:r>
      <w:r>
        <w:rPr>
          <w:rFonts w:ascii="仿宋_GB2312" w:eastAsia="仿宋_GB2312" w:cs="宋体"/>
          <w:kern w:val="0"/>
          <w:sz w:val="32"/>
          <w:szCs w:val="32"/>
          <w:shd w:val="clear" w:fill="FFFFFF" w:themeFill="background1"/>
        </w:rPr>
        <w:t>出版印刷《崆峒》杂志，</w:t>
      </w:r>
      <w:r>
        <w:rPr>
          <w:rFonts w:hint="eastAsia" w:ascii="仿宋_GB2312" w:eastAsia="仿宋_GB2312" w:cs="宋体"/>
          <w:kern w:val="0"/>
          <w:sz w:val="32"/>
          <w:szCs w:val="32"/>
          <w:shd w:val="clear" w:fill="FFFFFF" w:themeFill="background1"/>
          <w:lang w:val="en-US" w:eastAsia="zh-CN"/>
        </w:rPr>
        <w:t>与2017年相同</w:t>
      </w:r>
      <w:r>
        <w:rPr>
          <w:rFonts w:hint="eastAsia" w:ascii="仿宋_GB2312" w:eastAsia="仿宋_GB2312" w:cs="宋体"/>
          <w:kern w:val="0"/>
          <w:sz w:val="32"/>
          <w:szCs w:val="32"/>
          <w:shd w:val="clear" w:fill="FFFFFF" w:themeFill="background1"/>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eastAsia="仿宋_GB2312" w:cs="宋体"/>
          <w:kern w:val="0"/>
          <w:sz w:val="32"/>
          <w:szCs w:val="32"/>
          <w:shd w:val="clear" w:fill="FFFFFF" w:themeFill="background1"/>
          <w:lang w:val="en-US" w:eastAsia="zh-CN"/>
        </w:rPr>
      </w:pPr>
      <w:r>
        <w:rPr>
          <w:rFonts w:hint="eastAsia" w:ascii="仿宋_GB2312" w:eastAsia="仿宋_GB2312" w:cs="宋体"/>
          <w:kern w:val="0"/>
          <w:sz w:val="32"/>
          <w:szCs w:val="32"/>
          <w:shd w:val="clear" w:fill="FFFFFF" w:themeFill="background1"/>
          <w:lang w:val="en-US" w:eastAsia="zh-CN"/>
        </w:rPr>
        <w:t>6</w:t>
      </w:r>
      <w:r>
        <w:rPr>
          <w:rFonts w:hint="eastAsia" w:ascii="仿宋_GB2312" w:eastAsia="仿宋_GB2312" w:cs="宋体"/>
          <w:kern w:val="0"/>
          <w:sz w:val="32"/>
          <w:szCs w:val="32"/>
          <w:shd w:val="clear" w:fill="FFFFFF" w:themeFill="background1"/>
        </w:rPr>
        <w:t>.政府采购预算</w:t>
      </w:r>
      <w:r>
        <w:rPr>
          <w:rFonts w:ascii="仿宋_GB2312" w:eastAsia="仿宋_GB2312" w:cs="宋体"/>
          <w:kern w:val="0"/>
          <w:sz w:val="32"/>
          <w:szCs w:val="32"/>
          <w:shd w:val="clear" w:fill="FFFFFF" w:themeFill="background1"/>
        </w:rPr>
        <w:t>为</w:t>
      </w:r>
      <w:r>
        <w:rPr>
          <w:rFonts w:hint="eastAsia" w:ascii="仿宋_GB2312" w:eastAsia="仿宋_GB2312" w:cs="宋体"/>
          <w:kern w:val="0"/>
          <w:sz w:val="32"/>
          <w:szCs w:val="32"/>
          <w:shd w:val="clear" w:fill="FFFFFF" w:themeFill="background1"/>
          <w:lang w:val="en-US" w:eastAsia="zh-CN"/>
        </w:rPr>
        <w:t>0.62万元,主要用于文联机关购买电视等。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eastAsia="仿宋_GB2312" w:cs="宋体"/>
          <w:kern w:val="0"/>
          <w:sz w:val="32"/>
          <w:szCs w:val="32"/>
          <w:shd w:val="clear" w:fill="FFFFFF" w:themeFill="background1"/>
          <w:lang w:eastAsia="zh-CN"/>
        </w:rPr>
      </w:pPr>
      <w:r>
        <w:rPr>
          <w:rFonts w:hint="eastAsia" w:ascii="仿宋_GB2312" w:eastAsia="仿宋_GB2312" w:cs="宋体"/>
          <w:kern w:val="0"/>
          <w:sz w:val="32"/>
          <w:szCs w:val="32"/>
          <w:shd w:val="clear" w:fill="FFFFFF" w:themeFill="background1"/>
          <w:lang w:val="en-US" w:eastAsia="zh-CN"/>
        </w:rPr>
        <w:t>7.2018年没有安排</w:t>
      </w:r>
      <w:r>
        <w:rPr>
          <w:rFonts w:hint="eastAsia" w:ascii="仿宋_GB2312" w:eastAsia="仿宋_GB2312" w:cs="宋体"/>
          <w:kern w:val="0"/>
          <w:sz w:val="32"/>
          <w:szCs w:val="32"/>
          <w:shd w:val="clear" w:fill="FFFFFF" w:themeFill="background1"/>
        </w:rPr>
        <w:t>培训</w:t>
      </w:r>
      <w:r>
        <w:rPr>
          <w:rFonts w:hint="eastAsia" w:ascii="仿宋_GB2312" w:eastAsia="仿宋_GB2312" w:cs="宋体"/>
          <w:kern w:val="0"/>
          <w:sz w:val="32"/>
          <w:szCs w:val="32"/>
          <w:shd w:val="clear" w:fill="FFFFFF" w:themeFill="background1"/>
          <w:lang w:eastAsia="zh-CN"/>
        </w:rPr>
        <w:t>、</w:t>
      </w:r>
      <w:r>
        <w:rPr>
          <w:rFonts w:hint="eastAsia" w:ascii="仿宋_GB2312" w:eastAsia="仿宋_GB2312" w:cs="宋体"/>
          <w:kern w:val="0"/>
          <w:sz w:val="32"/>
          <w:szCs w:val="32"/>
          <w:shd w:val="clear" w:fill="FFFFFF" w:themeFill="background1"/>
          <w:lang w:val="en-US" w:eastAsia="zh-CN"/>
        </w:rPr>
        <w:t>会议</w:t>
      </w:r>
      <w:r>
        <w:rPr>
          <w:rFonts w:hint="eastAsia" w:ascii="仿宋_GB2312" w:eastAsia="仿宋_GB2312" w:cs="宋体"/>
          <w:kern w:val="0"/>
          <w:sz w:val="32"/>
          <w:szCs w:val="32"/>
          <w:shd w:val="clear" w:fill="FFFFFF" w:themeFill="background1"/>
          <w:lang w:eastAsia="zh-CN"/>
        </w:rPr>
        <w:t>及相关支出。</w:t>
      </w:r>
    </w:p>
    <w:p>
      <w:pPr>
        <w:widowControl/>
        <w:spacing w:line="600" w:lineRule="exact"/>
        <w:ind w:firstLine="640" w:firstLineChars="200"/>
        <w:jc w:val="left"/>
        <w:rPr>
          <w:rFonts w:hint="eastAsia" w:ascii="华文仿宋" w:hAnsi="华文仿宋" w:eastAsia="华文仿宋" w:cs="华文仿宋"/>
          <w:kern w:val="0"/>
          <w:sz w:val="32"/>
          <w:szCs w:val="32"/>
          <w:shd w:val="clear" w:fill="FFFFFF" w:themeFill="background1"/>
          <w:lang w:val="en-US" w:eastAsia="zh-CN"/>
        </w:rPr>
      </w:pPr>
      <w:r>
        <w:rPr>
          <w:rFonts w:hint="eastAsia" w:ascii="华文仿宋" w:hAnsi="华文仿宋" w:eastAsia="华文仿宋" w:cs="华文仿宋"/>
          <w:kern w:val="0"/>
          <w:sz w:val="32"/>
          <w:szCs w:val="32"/>
          <w:shd w:val="clear" w:fill="FFFFFF" w:themeFill="background1"/>
          <w:lang w:val="en-US" w:eastAsia="zh-CN"/>
        </w:rPr>
        <w:t>8</w:t>
      </w:r>
      <w:r>
        <w:rPr>
          <w:rFonts w:hint="eastAsia" w:ascii="华文仿宋" w:hAnsi="华文仿宋" w:eastAsia="华文仿宋" w:cs="华文仿宋"/>
          <w:kern w:val="0"/>
          <w:sz w:val="32"/>
          <w:szCs w:val="32"/>
          <w:shd w:val="clear" w:fill="FFFFFF" w:themeFill="background1"/>
        </w:rPr>
        <w:t>.机关运行费</w:t>
      </w:r>
      <w:r>
        <w:rPr>
          <w:rFonts w:hint="eastAsia" w:ascii="华文仿宋" w:hAnsi="华文仿宋" w:eastAsia="华文仿宋" w:cs="华文仿宋"/>
          <w:kern w:val="0"/>
          <w:sz w:val="32"/>
          <w:szCs w:val="32"/>
          <w:shd w:val="clear" w:fill="FFFFFF" w:themeFill="background1"/>
          <w:lang w:val="en-US" w:eastAsia="zh-CN"/>
        </w:rPr>
        <w:t>13.85</w:t>
      </w:r>
      <w:r>
        <w:rPr>
          <w:rFonts w:hint="eastAsia" w:ascii="华文仿宋" w:hAnsi="华文仿宋" w:eastAsia="华文仿宋" w:cs="华文仿宋"/>
          <w:kern w:val="0"/>
          <w:sz w:val="32"/>
          <w:szCs w:val="32"/>
          <w:shd w:val="clear" w:fill="FFFFFF" w:themeFill="background1"/>
        </w:rPr>
        <w:t>万元，主要用于维持机关正常运行所产生的费用。较201</w:t>
      </w:r>
      <w:r>
        <w:rPr>
          <w:rFonts w:hint="eastAsia" w:ascii="华文仿宋" w:hAnsi="华文仿宋" w:eastAsia="华文仿宋" w:cs="华文仿宋"/>
          <w:kern w:val="0"/>
          <w:sz w:val="32"/>
          <w:szCs w:val="32"/>
          <w:shd w:val="clear" w:fill="FFFFFF" w:themeFill="background1"/>
          <w:lang w:val="en-US" w:eastAsia="zh-CN"/>
        </w:rPr>
        <w:t>7</w:t>
      </w:r>
      <w:r>
        <w:rPr>
          <w:rFonts w:hint="eastAsia" w:ascii="华文仿宋" w:hAnsi="华文仿宋" w:eastAsia="华文仿宋" w:cs="华文仿宋"/>
          <w:kern w:val="0"/>
          <w:sz w:val="32"/>
          <w:szCs w:val="32"/>
          <w:shd w:val="clear" w:fill="FFFFFF" w:themeFill="background1"/>
        </w:rPr>
        <w:t>年</w:t>
      </w:r>
      <w:r>
        <w:rPr>
          <w:rFonts w:hint="eastAsia" w:ascii="华文仿宋" w:hAnsi="华文仿宋" w:eastAsia="华文仿宋" w:cs="华文仿宋"/>
          <w:kern w:val="0"/>
          <w:sz w:val="32"/>
          <w:szCs w:val="32"/>
          <w:shd w:val="clear" w:fill="FFFFFF" w:themeFill="background1"/>
          <w:lang w:val="en-US" w:eastAsia="zh-CN"/>
        </w:rPr>
        <w:t>减少1.49</w:t>
      </w:r>
      <w:r>
        <w:rPr>
          <w:rFonts w:hint="eastAsia" w:ascii="华文仿宋" w:hAnsi="华文仿宋" w:eastAsia="华文仿宋" w:cs="华文仿宋"/>
          <w:kern w:val="0"/>
          <w:sz w:val="32"/>
          <w:szCs w:val="32"/>
          <w:shd w:val="clear" w:fill="FFFFFF" w:themeFill="background1"/>
        </w:rPr>
        <w:t>万元。主要原因是</w:t>
      </w:r>
      <w:r>
        <w:rPr>
          <w:rFonts w:hint="eastAsia" w:ascii="华文仿宋" w:hAnsi="华文仿宋" w:eastAsia="华文仿宋" w:cs="华文仿宋"/>
          <w:kern w:val="0"/>
          <w:sz w:val="32"/>
          <w:szCs w:val="32"/>
          <w:shd w:val="clear" w:fill="FFFFFF" w:themeFill="background1"/>
          <w:lang w:val="en-US" w:eastAsia="zh-CN"/>
        </w:rPr>
        <w:t>购置费减少</w:t>
      </w:r>
      <w:r>
        <w:rPr>
          <w:rFonts w:hint="eastAsia" w:ascii="华文仿宋" w:hAnsi="华文仿宋" w:eastAsia="华文仿宋" w:cs="华文仿宋"/>
          <w:kern w:val="0"/>
          <w:sz w:val="32"/>
          <w:szCs w:val="32"/>
          <w:shd w:val="clear" w:fill="FFFFFF" w:themeFill="background1"/>
          <w:lang w:eastAsia="zh-CN"/>
        </w:rPr>
        <w:t>，</w:t>
      </w:r>
      <w:r>
        <w:rPr>
          <w:rFonts w:hint="eastAsia" w:ascii="华文仿宋" w:hAnsi="华文仿宋" w:eastAsia="华文仿宋" w:cs="华文仿宋"/>
          <w:kern w:val="0"/>
          <w:sz w:val="32"/>
          <w:szCs w:val="32"/>
          <w:shd w:val="clear" w:fill="FFFFFF" w:themeFill="background1"/>
          <w:lang w:val="en-US" w:eastAsia="zh-CN"/>
        </w:rPr>
        <w:t>无会议费支出。</w:t>
      </w:r>
    </w:p>
    <w:p>
      <w:pPr>
        <w:keepNext w:val="0"/>
        <w:keepLines w:val="0"/>
        <w:pageBreakBefore w:val="0"/>
        <w:widowControl w:val="0"/>
        <w:kinsoku/>
        <w:wordWrap/>
        <w:overflowPunct/>
        <w:topLinePunct w:val="0"/>
        <w:bidi w:val="0"/>
        <w:adjustRightInd w:val="0"/>
        <w:snapToGrid/>
        <w:spacing w:line="600" w:lineRule="exact"/>
        <w:ind w:firstLine="640" w:firstLineChars="200"/>
        <w:textAlignment w:val="baseline"/>
        <w:outlineLvl w:val="9"/>
        <w:rPr>
          <w:rFonts w:ascii="黑体" w:eastAsia="黑体"/>
          <w:b w:val="0"/>
          <w:bCs/>
          <w:sz w:val="32"/>
          <w:szCs w:val="32"/>
          <w:shd w:val="clear" w:fill="FFFFFF" w:themeFill="background1"/>
        </w:rPr>
      </w:pPr>
      <w:r>
        <w:rPr>
          <w:rFonts w:hint="eastAsia" w:ascii="黑体" w:eastAsia="黑体"/>
          <w:b w:val="0"/>
          <w:bCs/>
          <w:sz w:val="32"/>
          <w:szCs w:val="32"/>
          <w:shd w:val="clear" w:fill="FFFFFF" w:themeFill="background1"/>
          <w:lang w:val="en-US" w:eastAsia="zh-CN"/>
        </w:rPr>
        <w:t>二、</w:t>
      </w:r>
      <w:r>
        <w:rPr>
          <w:rFonts w:ascii="黑体" w:eastAsia="黑体"/>
          <w:b w:val="0"/>
          <w:bCs/>
          <w:sz w:val="32"/>
          <w:szCs w:val="32"/>
          <w:shd w:val="clear" w:fill="FFFFFF" w:themeFill="background1"/>
        </w:rPr>
        <w:t>名词解释</w:t>
      </w:r>
    </w:p>
    <w:p>
      <w:pPr>
        <w:keepNext w:val="0"/>
        <w:keepLines w:val="0"/>
        <w:pageBreakBefore w:val="0"/>
        <w:widowControl w:val="0"/>
        <w:kinsoku/>
        <w:wordWrap/>
        <w:overflowPunct/>
        <w:topLinePunct w:val="0"/>
        <w:bidi w:val="0"/>
        <w:adjustRightInd w:val="0"/>
        <w:snapToGrid/>
        <w:spacing w:line="600" w:lineRule="exact"/>
        <w:ind w:firstLine="643" w:firstLineChars="200"/>
        <w:textAlignment w:val="baseline"/>
        <w:outlineLvl w:val="9"/>
        <w:rPr>
          <w:rFonts w:ascii="仿宋_GB2312" w:eastAsia="仿宋_GB2312"/>
          <w:sz w:val="32"/>
          <w:szCs w:val="32"/>
          <w:shd w:val="clear" w:fill="FFFFFF" w:themeFill="background1"/>
        </w:rPr>
      </w:pPr>
      <w:r>
        <w:rPr>
          <w:rFonts w:ascii="仿宋_GB2312" w:eastAsia="仿宋_GB2312"/>
          <w:b/>
          <w:sz w:val="32"/>
          <w:szCs w:val="32"/>
          <w:shd w:val="clear" w:fill="FFFFFF" w:themeFill="background1"/>
        </w:rPr>
        <w:t>财政拨款收入：</w:t>
      </w:r>
      <w:r>
        <w:rPr>
          <w:rFonts w:ascii="仿宋_GB2312" w:eastAsia="仿宋_GB2312"/>
          <w:sz w:val="32"/>
          <w:szCs w:val="32"/>
          <w:shd w:val="clear" w:fill="FFFFFF" w:themeFill="background1"/>
        </w:rPr>
        <w:t>指</w:t>
      </w:r>
      <w:r>
        <w:rPr>
          <w:rFonts w:hint="eastAsia" w:ascii="仿宋_GB2312" w:eastAsia="仿宋_GB2312"/>
          <w:sz w:val="32"/>
          <w:szCs w:val="32"/>
          <w:shd w:val="clear" w:fill="FFFFFF" w:themeFill="background1"/>
        </w:rPr>
        <w:t>市</w:t>
      </w:r>
      <w:r>
        <w:rPr>
          <w:rFonts w:ascii="仿宋_GB2312" w:eastAsia="仿宋_GB2312"/>
          <w:sz w:val="32"/>
          <w:szCs w:val="32"/>
          <w:shd w:val="clear" w:fill="FFFFFF" w:themeFill="background1"/>
        </w:rPr>
        <w:t>级财政当年拨付的资金。</w:t>
      </w:r>
    </w:p>
    <w:p>
      <w:pPr>
        <w:keepNext w:val="0"/>
        <w:keepLines w:val="0"/>
        <w:pageBreakBefore w:val="0"/>
        <w:widowControl w:val="0"/>
        <w:kinsoku/>
        <w:wordWrap/>
        <w:overflowPunct/>
        <w:topLinePunct w:val="0"/>
        <w:bidi w:val="0"/>
        <w:adjustRightInd w:val="0"/>
        <w:snapToGrid/>
        <w:spacing w:line="600" w:lineRule="exact"/>
        <w:ind w:firstLine="641" w:firstLineChars="200"/>
        <w:textAlignment w:val="baseline"/>
        <w:outlineLvl w:val="9"/>
        <w:rPr>
          <w:rFonts w:hint="eastAsia" w:ascii="华文仿宋" w:hAnsi="华文仿宋" w:eastAsia="华文仿宋" w:cs="华文仿宋"/>
          <w:sz w:val="32"/>
          <w:szCs w:val="32"/>
          <w:shd w:val="clear" w:fill="FFFFFF" w:themeFill="background1"/>
        </w:rPr>
      </w:pPr>
      <w:r>
        <w:rPr>
          <w:rFonts w:hint="eastAsia" w:ascii="华文仿宋" w:hAnsi="华文仿宋" w:eastAsia="华文仿宋" w:cs="华文仿宋"/>
          <w:b/>
          <w:sz w:val="32"/>
          <w:szCs w:val="32"/>
          <w:shd w:val="clear" w:fill="FFFFFF" w:themeFill="background1"/>
        </w:rPr>
        <w:t>事业收入：</w:t>
      </w:r>
      <w:r>
        <w:rPr>
          <w:rFonts w:hint="eastAsia" w:ascii="华文仿宋" w:hAnsi="华文仿宋" w:eastAsia="华文仿宋" w:cs="华文仿宋"/>
          <w:sz w:val="32"/>
          <w:szCs w:val="32"/>
          <w:shd w:val="clear" w:fill="FFFFFF" w:themeFill="background1"/>
        </w:rPr>
        <w:t>事业收入是指事业单位开展专业业务活动及辅助活动所取得的收入。</w:t>
      </w:r>
    </w:p>
    <w:p>
      <w:pPr>
        <w:keepNext w:val="0"/>
        <w:keepLines w:val="0"/>
        <w:pageBreakBefore w:val="0"/>
        <w:widowControl w:val="0"/>
        <w:kinsoku/>
        <w:wordWrap/>
        <w:overflowPunct/>
        <w:topLinePunct w:val="0"/>
        <w:bidi w:val="0"/>
        <w:adjustRightInd w:val="0"/>
        <w:snapToGrid/>
        <w:spacing w:line="600" w:lineRule="exact"/>
        <w:ind w:firstLine="641" w:firstLineChars="200"/>
        <w:textAlignment w:val="baseline"/>
        <w:outlineLvl w:val="9"/>
        <w:rPr>
          <w:rFonts w:hint="eastAsia" w:ascii="华文仿宋" w:hAnsi="华文仿宋" w:eastAsia="华文仿宋" w:cs="华文仿宋"/>
          <w:sz w:val="32"/>
          <w:szCs w:val="32"/>
          <w:shd w:val="clear" w:fill="FFFFFF" w:themeFill="background1"/>
        </w:rPr>
      </w:pPr>
      <w:r>
        <w:rPr>
          <w:rFonts w:hint="eastAsia" w:ascii="华文仿宋" w:hAnsi="华文仿宋" w:eastAsia="华文仿宋" w:cs="华文仿宋"/>
          <w:b/>
          <w:sz w:val="32"/>
          <w:szCs w:val="32"/>
          <w:shd w:val="clear" w:fill="FFFFFF" w:themeFill="background1"/>
        </w:rPr>
        <w:t>经营收入：</w:t>
      </w:r>
      <w:r>
        <w:rPr>
          <w:rFonts w:hint="eastAsia" w:ascii="华文仿宋" w:hAnsi="华文仿宋" w:eastAsia="华文仿宋" w:cs="华文仿宋"/>
          <w:sz w:val="32"/>
          <w:szCs w:val="32"/>
          <w:shd w:val="clear" w:fill="FFFFFF" w:themeFill="background1"/>
        </w:rPr>
        <w:t>事业单位在专业业务活动及其辅助活动之外开展非独立核算经营活动取得的收入。</w:t>
      </w:r>
    </w:p>
    <w:p>
      <w:pPr>
        <w:keepNext w:val="0"/>
        <w:keepLines w:val="0"/>
        <w:pageBreakBefore w:val="0"/>
        <w:widowControl w:val="0"/>
        <w:kinsoku/>
        <w:wordWrap/>
        <w:overflowPunct/>
        <w:topLinePunct w:val="0"/>
        <w:bidi w:val="0"/>
        <w:adjustRightInd w:val="0"/>
        <w:snapToGrid/>
        <w:spacing w:line="600" w:lineRule="exact"/>
        <w:ind w:firstLine="643" w:firstLineChars="200"/>
        <w:textAlignment w:val="baseline"/>
        <w:outlineLvl w:val="9"/>
        <w:rPr>
          <w:rFonts w:hint="eastAsia" w:ascii="仿宋_GB2312" w:eastAsia="仿宋_GB2312"/>
          <w:sz w:val="32"/>
          <w:szCs w:val="32"/>
          <w:shd w:val="clear" w:fill="FFFFFF" w:themeFill="background1"/>
        </w:rPr>
      </w:pPr>
      <w:r>
        <w:rPr>
          <w:rFonts w:ascii="仿宋_GB2312" w:eastAsia="仿宋_GB2312"/>
          <w:b/>
          <w:sz w:val="32"/>
          <w:szCs w:val="32"/>
          <w:shd w:val="clear" w:fill="FFFFFF" w:themeFill="background1"/>
        </w:rPr>
        <w:t>其他收入：</w:t>
      </w:r>
      <w:r>
        <w:rPr>
          <w:rFonts w:ascii="仿宋_GB2312" w:eastAsia="仿宋_GB2312"/>
          <w:sz w:val="32"/>
          <w:szCs w:val="32"/>
          <w:shd w:val="clear" w:fill="FFFFFF" w:themeFill="background1"/>
        </w:rPr>
        <w:t>指除上述“财政拨款收入”、“事业收入”、“经营收入”以外的收入。</w:t>
      </w:r>
    </w:p>
    <w:p>
      <w:pPr>
        <w:keepNext w:val="0"/>
        <w:keepLines w:val="0"/>
        <w:pageBreakBefore w:val="0"/>
        <w:widowControl w:val="0"/>
        <w:kinsoku/>
        <w:wordWrap/>
        <w:overflowPunct/>
        <w:topLinePunct w:val="0"/>
        <w:bidi w:val="0"/>
        <w:adjustRightInd w:val="0"/>
        <w:snapToGrid/>
        <w:spacing w:line="600" w:lineRule="exact"/>
        <w:ind w:firstLine="641" w:firstLineChars="200"/>
        <w:textAlignment w:val="baseline"/>
        <w:outlineLvl w:val="9"/>
        <w:rPr>
          <w:rFonts w:ascii="仿宋_GB2312" w:eastAsia="仿宋_GB2312"/>
          <w:b/>
          <w:sz w:val="32"/>
          <w:szCs w:val="32"/>
          <w:shd w:val="clear" w:fill="FFFFFF" w:themeFill="background1"/>
        </w:rPr>
      </w:pPr>
      <w:r>
        <w:rPr>
          <w:rFonts w:hint="eastAsia" w:ascii="华文仿宋" w:hAnsi="华文仿宋" w:eastAsia="华文仿宋" w:cs="华文仿宋"/>
          <w:b/>
          <w:sz w:val="32"/>
          <w:szCs w:val="32"/>
          <w:shd w:val="clear" w:fill="FFFFFF" w:themeFill="background1"/>
        </w:rPr>
        <w:t>用事业基金弥补收支差额：</w:t>
      </w:r>
      <w:r>
        <w:rPr>
          <w:rFonts w:hint="eastAsia" w:ascii="华文仿宋" w:hAnsi="华文仿宋" w:eastAsia="华文仿宋" w:cs="华文仿宋"/>
          <w:sz w:val="32"/>
          <w:szCs w:val="32"/>
          <w:shd w:val="clear" w:fill="FFFFFF" w:themeFill="background1"/>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keepNext w:val="0"/>
        <w:keepLines w:val="0"/>
        <w:pageBreakBefore w:val="0"/>
        <w:widowControl w:val="0"/>
        <w:kinsoku/>
        <w:wordWrap/>
        <w:overflowPunct/>
        <w:topLinePunct w:val="0"/>
        <w:bidi w:val="0"/>
        <w:adjustRightInd w:val="0"/>
        <w:snapToGrid/>
        <w:spacing w:line="600" w:lineRule="exact"/>
        <w:ind w:firstLine="643" w:firstLineChars="200"/>
        <w:textAlignment w:val="baseline"/>
        <w:outlineLvl w:val="9"/>
        <w:rPr>
          <w:rFonts w:ascii="仿宋_GB2312" w:eastAsia="仿宋_GB2312"/>
          <w:sz w:val="32"/>
          <w:szCs w:val="32"/>
          <w:shd w:val="clear" w:fill="FFFFFF" w:themeFill="background1"/>
        </w:rPr>
      </w:pPr>
      <w:r>
        <w:rPr>
          <w:rFonts w:ascii="仿宋_GB2312" w:eastAsia="仿宋_GB2312"/>
          <w:b/>
          <w:sz w:val="32"/>
          <w:szCs w:val="32"/>
          <w:shd w:val="clear" w:fill="FFFFFF" w:themeFill="background1"/>
        </w:rPr>
        <w:t>上年结转和结余：</w:t>
      </w:r>
      <w:r>
        <w:rPr>
          <w:rFonts w:ascii="仿宋_GB2312" w:eastAsia="仿宋_GB2312"/>
          <w:sz w:val="32"/>
          <w:szCs w:val="32"/>
          <w:shd w:val="clear" w:fill="FFFFFF" w:themeFill="background1"/>
        </w:rPr>
        <w:t>指以前年度尚未完成，结转到本年度按有关规定继续使用的资金。</w:t>
      </w:r>
    </w:p>
    <w:p>
      <w:pPr>
        <w:keepNext w:val="0"/>
        <w:keepLines w:val="0"/>
        <w:pageBreakBefore w:val="0"/>
        <w:widowControl w:val="0"/>
        <w:kinsoku/>
        <w:wordWrap/>
        <w:overflowPunct/>
        <w:topLinePunct w:val="0"/>
        <w:bidi w:val="0"/>
        <w:adjustRightInd w:val="0"/>
        <w:snapToGrid/>
        <w:spacing w:line="600" w:lineRule="exact"/>
        <w:ind w:firstLine="643" w:firstLineChars="200"/>
        <w:textAlignment w:val="baseline"/>
        <w:outlineLvl w:val="9"/>
        <w:rPr>
          <w:rFonts w:ascii="仿宋_GB2312" w:eastAsia="仿宋_GB2312"/>
          <w:sz w:val="32"/>
          <w:szCs w:val="32"/>
          <w:shd w:val="clear" w:fill="FFFFFF" w:themeFill="background1"/>
        </w:rPr>
      </w:pPr>
      <w:r>
        <w:rPr>
          <w:rFonts w:ascii="仿宋_GB2312" w:eastAsia="仿宋_GB2312"/>
          <w:b/>
          <w:sz w:val="32"/>
          <w:szCs w:val="32"/>
          <w:shd w:val="clear" w:fill="FFFFFF" w:themeFill="background1"/>
        </w:rPr>
        <w:t>一般公共服务：</w:t>
      </w:r>
      <w:r>
        <w:rPr>
          <w:rFonts w:ascii="仿宋_GB2312" w:eastAsia="仿宋_GB2312"/>
          <w:sz w:val="32"/>
          <w:szCs w:val="32"/>
          <w:shd w:val="clear" w:fill="FFFFFF" w:themeFill="background1"/>
        </w:rPr>
        <w:t>指</w:t>
      </w:r>
      <w:r>
        <w:rPr>
          <w:rFonts w:hint="eastAsia" w:ascii="仿宋_GB2312" w:eastAsia="仿宋_GB2312"/>
          <w:sz w:val="32"/>
          <w:szCs w:val="32"/>
          <w:shd w:val="clear" w:fill="FFFFFF" w:themeFill="background1"/>
          <w:lang w:val="en-US" w:eastAsia="zh-CN"/>
        </w:rPr>
        <w:t>平凉市文学艺术界联合会</w:t>
      </w:r>
      <w:r>
        <w:rPr>
          <w:rFonts w:ascii="仿宋_GB2312" w:eastAsia="仿宋_GB2312"/>
          <w:sz w:val="32"/>
          <w:szCs w:val="32"/>
          <w:shd w:val="clear" w:fill="FFFFFF" w:themeFill="background1"/>
        </w:rPr>
        <w:t>用于保障机构正常运行、开展财政管理活动的支出。</w:t>
      </w:r>
    </w:p>
    <w:p>
      <w:pPr>
        <w:keepNext w:val="0"/>
        <w:keepLines w:val="0"/>
        <w:pageBreakBefore w:val="0"/>
        <w:widowControl w:val="0"/>
        <w:kinsoku/>
        <w:wordWrap/>
        <w:overflowPunct/>
        <w:topLinePunct w:val="0"/>
        <w:bidi w:val="0"/>
        <w:adjustRightInd w:val="0"/>
        <w:snapToGrid/>
        <w:spacing w:line="600" w:lineRule="exact"/>
        <w:ind w:firstLine="643" w:firstLineChars="200"/>
        <w:textAlignment w:val="baseline"/>
        <w:outlineLvl w:val="9"/>
        <w:rPr>
          <w:rFonts w:ascii="仿宋_GB2312" w:eastAsia="仿宋_GB2312"/>
          <w:sz w:val="32"/>
          <w:szCs w:val="32"/>
          <w:shd w:val="clear" w:fill="FFFFFF" w:themeFill="background1"/>
        </w:rPr>
      </w:pPr>
      <w:r>
        <w:rPr>
          <w:rFonts w:ascii="仿宋_GB2312" w:eastAsia="仿宋_GB2312"/>
          <w:b/>
          <w:sz w:val="32"/>
          <w:szCs w:val="32"/>
          <w:shd w:val="clear" w:fill="FFFFFF" w:themeFill="background1"/>
        </w:rPr>
        <w:t>社会保障和就业：</w:t>
      </w:r>
      <w:r>
        <w:rPr>
          <w:rFonts w:ascii="仿宋_GB2312" w:eastAsia="仿宋_GB2312"/>
          <w:sz w:val="32"/>
          <w:szCs w:val="32"/>
          <w:shd w:val="clear" w:fill="FFFFFF" w:themeFill="background1"/>
        </w:rPr>
        <w:t>指</w:t>
      </w:r>
      <w:r>
        <w:rPr>
          <w:rFonts w:hint="eastAsia" w:ascii="仿宋_GB2312" w:eastAsia="仿宋_GB2312"/>
          <w:sz w:val="32"/>
          <w:szCs w:val="32"/>
          <w:shd w:val="clear" w:fill="FFFFFF" w:themeFill="background1"/>
          <w:lang w:val="en-US" w:eastAsia="zh-CN"/>
        </w:rPr>
        <w:t>平凉市文学艺术界联合会</w:t>
      </w:r>
      <w:r>
        <w:rPr>
          <w:rFonts w:ascii="仿宋_GB2312" w:eastAsia="仿宋_GB2312"/>
          <w:sz w:val="32"/>
          <w:szCs w:val="32"/>
          <w:shd w:val="clear" w:fill="FFFFFF" w:themeFill="background1"/>
        </w:rPr>
        <w:t>用于离退休人员的经费。</w:t>
      </w:r>
    </w:p>
    <w:p>
      <w:pPr>
        <w:keepNext w:val="0"/>
        <w:keepLines w:val="0"/>
        <w:pageBreakBefore w:val="0"/>
        <w:widowControl w:val="0"/>
        <w:kinsoku/>
        <w:wordWrap/>
        <w:overflowPunct/>
        <w:topLinePunct w:val="0"/>
        <w:bidi w:val="0"/>
        <w:adjustRightInd w:val="0"/>
        <w:snapToGrid/>
        <w:spacing w:line="600" w:lineRule="exact"/>
        <w:ind w:firstLine="643" w:firstLineChars="200"/>
        <w:textAlignment w:val="baseline"/>
        <w:outlineLvl w:val="9"/>
        <w:rPr>
          <w:rFonts w:ascii="仿宋_GB2312" w:eastAsia="仿宋_GB2312"/>
          <w:sz w:val="32"/>
          <w:szCs w:val="32"/>
          <w:shd w:val="clear" w:fill="FFFFFF" w:themeFill="background1"/>
        </w:rPr>
      </w:pPr>
      <w:r>
        <w:rPr>
          <w:rFonts w:ascii="仿宋_GB2312" w:eastAsia="仿宋_GB2312"/>
          <w:b/>
          <w:sz w:val="32"/>
          <w:szCs w:val="32"/>
          <w:shd w:val="clear" w:fill="FFFFFF" w:themeFill="background1"/>
        </w:rPr>
        <w:t>住房保障支出：</w:t>
      </w:r>
      <w:r>
        <w:rPr>
          <w:rFonts w:ascii="仿宋_GB2312" w:eastAsia="仿宋_GB2312"/>
          <w:sz w:val="32"/>
          <w:szCs w:val="32"/>
          <w:shd w:val="clear" w:fill="FFFFFF" w:themeFill="background1"/>
        </w:rPr>
        <w:t>指按照国家政策规定用于住房改革方面的支出。</w:t>
      </w:r>
    </w:p>
    <w:p>
      <w:pPr>
        <w:rPr>
          <w:rFonts w:hint="eastAsia" w:ascii="方正小标宋简体" w:eastAsia="方正小标宋简体" w:cs="宋体"/>
          <w:kern w:val="0"/>
          <w:sz w:val="44"/>
          <w:szCs w:val="44"/>
          <w:shd w:val="clear" w:fill="FFFFFF" w:themeFill="background1"/>
        </w:rPr>
      </w:pPr>
      <w:r>
        <w:rPr>
          <w:rFonts w:ascii="仿宋_GB2312" w:eastAsia="仿宋_GB2312"/>
          <w:b/>
          <w:sz w:val="32"/>
          <w:szCs w:val="32"/>
          <w:shd w:val="clear" w:fill="FFFFFF" w:themeFill="background1"/>
        </w:rPr>
        <w:t>住房公积金：</w:t>
      </w:r>
      <w:r>
        <w:rPr>
          <w:rFonts w:ascii="仿宋_GB2312" w:eastAsia="仿宋_GB2312"/>
          <w:sz w:val="32"/>
          <w:szCs w:val="32"/>
          <w:shd w:val="clear" w:fill="FFFFFF" w:themeFill="background1"/>
        </w:rPr>
        <w:t>指按照国家统一规定，依据</w:t>
      </w:r>
      <w:r>
        <w:rPr>
          <w:rFonts w:hint="eastAsia" w:ascii="仿宋_GB2312" w:eastAsia="仿宋_GB2312"/>
          <w:sz w:val="32"/>
          <w:szCs w:val="32"/>
          <w:shd w:val="clear" w:fill="FFFFFF" w:themeFill="background1"/>
        </w:rPr>
        <w:t>市</w:t>
      </w:r>
      <w:r>
        <w:rPr>
          <w:rFonts w:ascii="仿宋_GB2312" w:eastAsia="仿宋_GB2312"/>
          <w:sz w:val="32"/>
          <w:szCs w:val="32"/>
          <w:shd w:val="clear" w:fill="FFFFFF" w:themeFill="background1"/>
        </w:rPr>
        <w:t>上确定的比</w:t>
      </w:r>
    </w:p>
    <w:p>
      <w:pPr>
        <w:keepNext w:val="0"/>
        <w:keepLines w:val="0"/>
        <w:pageBreakBefore w:val="0"/>
        <w:widowControl w:val="0"/>
        <w:kinsoku/>
        <w:wordWrap/>
        <w:overflowPunct/>
        <w:topLinePunct w:val="0"/>
        <w:bidi w:val="0"/>
        <w:adjustRightInd w:val="0"/>
        <w:snapToGrid/>
        <w:spacing w:line="600" w:lineRule="exact"/>
        <w:ind w:firstLine="640" w:firstLineChars="200"/>
        <w:textAlignment w:val="baseline"/>
        <w:outlineLvl w:val="9"/>
        <w:rPr>
          <w:rFonts w:ascii="仿宋_GB2312" w:eastAsia="仿宋_GB2312"/>
          <w:sz w:val="32"/>
          <w:szCs w:val="32"/>
          <w:shd w:val="clear" w:fill="FFFFFF" w:themeFill="background1"/>
        </w:rPr>
      </w:pPr>
      <w:r>
        <w:rPr>
          <w:rFonts w:ascii="仿宋_GB2312" w:eastAsia="仿宋_GB2312"/>
          <w:sz w:val="32"/>
          <w:szCs w:val="32"/>
          <w:shd w:val="clear" w:fill="FFFFFF" w:themeFill="background1"/>
        </w:rPr>
        <w:t>例为在职职工缴存的长期住房储金。</w:t>
      </w:r>
    </w:p>
    <w:p>
      <w:pPr>
        <w:keepNext w:val="0"/>
        <w:keepLines w:val="0"/>
        <w:pageBreakBefore w:val="0"/>
        <w:widowControl w:val="0"/>
        <w:kinsoku/>
        <w:wordWrap/>
        <w:overflowPunct/>
        <w:topLinePunct w:val="0"/>
        <w:bidi w:val="0"/>
        <w:adjustRightInd w:val="0"/>
        <w:snapToGrid/>
        <w:spacing w:line="600" w:lineRule="exact"/>
        <w:ind w:firstLine="643" w:firstLineChars="200"/>
        <w:textAlignment w:val="baseline"/>
        <w:outlineLvl w:val="9"/>
        <w:rPr>
          <w:rFonts w:ascii="仿宋_GB2312" w:eastAsia="仿宋_GB2312"/>
          <w:sz w:val="32"/>
          <w:szCs w:val="32"/>
          <w:shd w:val="clear" w:fill="FFFFFF" w:themeFill="background1"/>
        </w:rPr>
      </w:pPr>
      <w:r>
        <w:rPr>
          <w:rFonts w:ascii="仿宋_GB2312" w:eastAsia="仿宋_GB2312"/>
          <w:b/>
          <w:sz w:val="32"/>
          <w:szCs w:val="32"/>
          <w:shd w:val="clear" w:fill="FFFFFF" w:themeFill="background1"/>
        </w:rPr>
        <w:t>基本支出：</w:t>
      </w:r>
      <w:r>
        <w:rPr>
          <w:rFonts w:ascii="仿宋_GB2312" w:eastAsia="仿宋_GB2312"/>
          <w:sz w:val="32"/>
          <w:szCs w:val="32"/>
          <w:shd w:val="clear" w:fill="FFFFFF" w:themeFill="background1"/>
        </w:rPr>
        <w:t>指为保障机构正常运转、完成日常工作任务而发生的人员支出和公用支出。</w:t>
      </w:r>
    </w:p>
    <w:p>
      <w:pPr>
        <w:keepNext w:val="0"/>
        <w:keepLines w:val="0"/>
        <w:pageBreakBefore w:val="0"/>
        <w:widowControl w:val="0"/>
        <w:kinsoku/>
        <w:wordWrap/>
        <w:overflowPunct/>
        <w:topLinePunct w:val="0"/>
        <w:bidi w:val="0"/>
        <w:adjustRightInd w:val="0"/>
        <w:snapToGrid/>
        <w:spacing w:line="600" w:lineRule="exact"/>
        <w:ind w:firstLine="643" w:firstLineChars="200"/>
        <w:textAlignment w:val="baseline"/>
        <w:outlineLvl w:val="9"/>
        <w:rPr>
          <w:rFonts w:ascii="仿宋_GB2312" w:eastAsia="仿宋_GB2312"/>
          <w:sz w:val="32"/>
          <w:szCs w:val="32"/>
          <w:shd w:val="clear" w:fill="FFFFFF" w:themeFill="background1"/>
        </w:rPr>
      </w:pPr>
      <w:r>
        <w:rPr>
          <w:rFonts w:ascii="仿宋_GB2312" w:eastAsia="仿宋_GB2312"/>
          <w:b/>
          <w:sz w:val="32"/>
          <w:szCs w:val="32"/>
          <w:shd w:val="clear" w:fill="FFFFFF" w:themeFill="background1"/>
        </w:rPr>
        <w:t>项目支出：</w:t>
      </w:r>
      <w:r>
        <w:rPr>
          <w:rFonts w:ascii="仿宋_GB2312" w:eastAsia="仿宋_GB2312"/>
          <w:sz w:val="32"/>
          <w:szCs w:val="32"/>
          <w:shd w:val="clear" w:fill="FFFFFF" w:themeFill="background1"/>
        </w:rPr>
        <w:t>指在基本支出之外为完成特定行政任务和事业发展目标所发生的支出。</w:t>
      </w:r>
    </w:p>
    <w:p>
      <w:pPr>
        <w:keepNext w:val="0"/>
        <w:keepLines w:val="0"/>
        <w:pageBreakBefore w:val="0"/>
        <w:widowControl w:val="0"/>
        <w:kinsoku/>
        <w:wordWrap/>
        <w:overflowPunct/>
        <w:topLinePunct w:val="0"/>
        <w:bidi w:val="0"/>
        <w:adjustRightInd w:val="0"/>
        <w:snapToGrid/>
        <w:spacing w:line="600" w:lineRule="exact"/>
        <w:ind w:firstLine="643" w:firstLineChars="200"/>
        <w:textAlignment w:val="baseline"/>
        <w:outlineLvl w:val="9"/>
        <w:rPr>
          <w:rFonts w:ascii="仿宋_GB2312" w:eastAsia="仿宋_GB2312"/>
          <w:sz w:val="32"/>
          <w:szCs w:val="32"/>
          <w:shd w:val="clear" w:fill="FFFFFF" w:themeFill="background1"/>
        </w:rPr>
      </w:pPr>
      <w:r>
        <w:rPr>
          <w:rFonts w:ascii="仿宋_GB2312" w:eastAsia="仿宋_GB2312"/>
          <w:b/>
          <w:sz w:val="32"/>
          <w:szCs w:val="32"/>
          <w:shd w:val="clear" w:fill="FFFFFF" w:themeFill="background1"/>
        </w:rPr>
        <w:t>年末结转和结余：</w:t>
      </w:r>
      <w:r>
        <w:rPr>
          <w:rFonts w:ascii="仿宋_GB2312" w:eastAsia="仿宋_GB2312"/>
          <w:sz w:val="32"/>
          <w:szCs w:val="32"/>
          <w:shd w:val="clear" w:fill="FFFFFF" w:themeFill="background1"/>
        </w:rPr>
        <w:t>指本年度或以前年度预算安排，因客观条件发生变化无法按原计划实施，需要延迟到以后年度按有关规定继续使用的资金。</w:t>
      </w:r>
    </w:p>
    <w:p>
      <w:pPr>
        <w:keepNext w:val="0"/>
        <w:keepLines w:val="0"/>
        <w:pageBreakBefore w:val="0"/>
        <w:widowControl w:val="0"/>
        <w:kinsoku/>
        <w:wordWrap/>
        <w:overflowPunct/>
        <w:topLinePunct w:val="0"/>
        <w:bidi w:val="0"/>
        <w:adjustRightInd w:val="0"/>
        <w:snapToGrid/>
        <w:spacing w:line="600" w:lineRule="exact"/>
        <w:ind w:firstLine="643" w:firstLineChars="200"/>
        <w:textAlignment w:val="baseline"/>
        <w:outlineLvl w:val="9"/>
        <w:rPr>
          <w:rFonts w:ascii="仿宋_GB2312" w:eastAsia="仿宋_GB2312"/>
          <w:sz w:val="32"/>
          <w:szCs w:val="32"/>
          <w:shd w:val="clear" w:fill="FFFFFF" w:themeFill="background1"/>
        </w:rPr>
      </w:pPr>
      <w:r>
        <w:rPr>
          <w:rFonts w:ascii="仿宋_GB2312" w:eastAsia="仿宋_GB2312"/>
          <w:b/>
          <w:sz w:val="32"/>
          <w:szCs w:val="32"/>
          <w:shd w:val="clear" w:fill="FFFFFF" w:themeFill="background1"/>
        </w:rPr>
        <w:t>三公经费：</w:t>
      </w:r>
      <w:r>
        <w:rPr>
          <w:rFonts w:ascii="仿宋_GB2312" w:eastAsia="仿宋_GB2312"/>
          <w:sz w:val="32"/>
          <w:szCs w:val="32"/>
          <w:shd w:val="clear" w:fill="FFFFFF" w:themeFill="background1"/>
        </w:rPr>
        <w:t>是指</w:t>
      </w:r>
      <w:r>
        <w:rPr>
          <w:rFonts w:hint="eastAsia" w:ascii="仿宋_GB2312" w:eastAsia="仿宋_GB2312"/>
          <w:sz w:val="32"/>
          <w:szCs w:val="32"/>
          <w:shd w:val="clear" w:fill="FFFFFF" w:themeFill="background1"/>
        </w:rPr>
        <w:t>市</w:t>
      </w:r>
      <w:r>
        <w:rPr>
          <w:rFonts w:ascii="仿宋_GB2312" w:eastAsia="仿宋_GB2312"/>
          <w:sz w:val="32"/>
          <w:szCs w:val="32"/>
          <w:shd w:val="clear" w:fill="FFFFFF" w:themeFill="background1"/>
        </w:rPr>
        <w:t>级部门用财政拨款安排的因公出国（境）费，公务用车购置及运行费和公务接</w:t>
      </w:r>
      <w:r>
        <w:rPr>
          <w:rFonts w:hint="eastAsia" w:ascii="仿宋_GB2312" w:eastAsia="仿宋_GB2312"/>
          <w:sz w:val="32"/>
          <w:szCs w:val="32"/>
          <w:shd w:val="clear" w:fill="FFFFFF" w:themeFill="background1"/>
          <w:lang w:eastAsia="zh-CN"/>
        </w:rPr>
        <w:t>待</w:t>
      </w:r>
      <w:r>
        <w:rPr>
          <w:rFonts w:ascii="仿宋_GB2312" w:eastAsia="仿宋_GB2312"/>
          <w:sz w:val="32"/>
          <w:szCs w:val="32"/>
          <w:shd w:val="clear" w:fill="FFFFFF" w:themeFill="background1"/>
        </w:rPr>
        <w:t>费。</w:t>
      </w:r>
    </w:p>
    <w:p>
      <w:pPr>
        <w:keepNext w:val="0"/>
        <w:keepLines w:val="0"/>
        <w:pageBreakBefore w:val="0"/>
        <w:widowControl w:val="0"/>
        <w:kinsoku/>
        <w:wordWrap/>
        <w:overflowPunct/>
        <w:topLinePunct w:val="0"/>
        <w:bidi w:val="0"/>
        <w:adjustRightInd w:val="0"/>
        <w:snapToGrid/>
        <w:spacing w:line="600" w:lineRule="exact"/>
        <w:ind w:firstLine="643" w:firstLineChars="200"/>
        <w:textAlignment w:val="baseline"/>
        <w:outlineLvl w:val="9"/>
        <w:rPr>
          <w:rFonts w:hint="eastAsia" w:ascii="仿宋_GB2312" w:eastAsia="仿宋_GB2312"/>
          <w:sz w:val="32"/>
          <w:szCs w:val="32"/>
          <w:shd w:val="clear" w:fill="FFFFFF" w:themeFill="background1"/>
          <w:lang w:eastAsia="zh-CN"/>
        </w:rPr>
      </w:pPr>
      <w:r>
        <w:rPr>
          <w:rFonts w:ascii="仿宋_GB2312" w:eastAsia="仿宋_GB2312"/>
          <w:b/>
          <w:sz w:val="32"/>
          <w:szCs w:val="32"/>
          <w:shd w:val="clear" w:fill="FFFFFF" w:themeFill="background1"/>
        </w:rPr>
        <w:t>机关运行经费：</w:t>
      </w:r>
      <w:r>
        <w:rPr>
          <w:rFonts w:ascii="仿宋_GB2312" w:eastAsia="仿宋_GB2312"/>
          <w:sz w:val="32"/>
          <w:szCs w:val="32"/>
          <w:shd w:val="clear" w:fill="FFFFFF" w:themeFill="background1"/>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仿宋_GB2312" w:eastAsia="仿宋_GB2312"/>
          <w:sz w:val="32"/>
          <w:szCs w:val="32"/>
          <w:shd w:val="clear" w:fill="FFFFFF" w:themeFill="background1"/>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eastAsia="黑体" w:cs="宋体"/>
          <w:kern w:val="0"/>
          <w:sz w:val="32"/>
          <w:szCs w:val="32"/>
          <w:shd w:val="clear" w:fill="FFFFFF" w:themeFill="background1"/>
          <w:lang w:val="en-US" w:eastAsia="zh-CN"/>
        </w:rPr>
      </w:pPr>
      <w:r>
        <w:rPr>
          <w:rFonts w:hint="eastAsia" w:ascii="黑体" w:eastAsia="黑体" w:cs="宋体"/>
          <w:kern w:val="0"/>
          <w:sz w:val="32"/>
          <w:szCs w:val="32"/>
          <w:shd w:val="clear" w:fill="FFFFFF" w:themeFill="background1"/>
          <w:lang w:val="en-US" w:eastAsia="zh-CN"/>
        </w:rPr>
        <w:t>三、国有资产占用情况说明</w:t>
      </w:r>
    </w:p>
    <w:p>
      <w:pPr>
        <w:keepNext w:val="0"/>
        <w:keepLines w:val="0"/>
        <w:pageBreakBefore w:val="0"/>
        <w:widowControl w:val="0"/>
        <w:kinsoku/>
        <w:wordWrap/>
        <w:overflowPunct/>
        <w:topLinePunct w:val="0"/>
        <w:bidi w:val="0"/>
        <w:adjustRightInd w:val="0"/>
        <w:snapToGrid/>
        <w:spacing w:line="600" w:lineRule="exact"/>
        <w:ind w:firstLine="640" w:firstLineChars="200"/>
        <w:textAlignment w:val="baseline"/>
        <w:outlineLvl w:val="9"/>
        <w:rPr>
          <w:rFonts w:ascii="仿宋_GB2312" w:eastAsia="仿宋_GB2312" w:cs="宋体"/>
          <w:kern w:val="0"/>
          <w:sz w:val="32"/>
          <w:szCs w:val="32"/>
          <w:shd w:val="clear" w:fill="FFFFFF" w:themeFill="background1"/>
        </w:rPr>
      </w:pPr>
      <w:r>
        <w:rPr>
          <w:rFonts w:hint="eastAsia" w:ascii="华文仿宋" w:hAnsi="华文仿宋" w:eastAsia="华文仿宋" w:cs="华文仿宋"/>
          <w:kern w:val="0"/>
          <w:sz w:val="32"/>
          <w:szCs w:val="32"/>
          <w:shd w:val="clear" w:fill="FFFFFF" w:themeFill="background1"/>
          <w:lang w:val="en-US" w:eastAsia="zh-CN"/>
        </w:rPr>
        <w:t>我单位没有占用国有资产。</w:t>
      </w:r>
    </w:p>
    <w:p>
      <w:pPr>
        <w:keepNext w:val="0"/>
        <w:keepLines w:val="0"/>
        <w:pageBreakBefore w:val="0"/>
        <w:widowControl w:val="0"/>
        <w:kinsoku/>
        <w:wordWrap/>
        <w:overflowPunct/>
        <w:topLinePunct w:val="0"/>
        <w:bidi w:val="0"/>
        <w:adjustRightInd w:val="0"/>
        <w:snapToGrid/>
        <w:spacing w:line="600" w:lineRule="exact"/>
        <w:ind w:firstLine="640" w:firstLineChars="200"/>
        <w:textAlignment w:val="baseline"/>
        <w:outlineLvl w:val="9"/>
        <w:rPr>
          <w:rFonts w:hint="eastAsia" w:ascii="黑体" w:hAnsi="黑体" w:eastAsia="黑体" w:cs="黑体"/>
          <w:b w:val="0"/>
          <w:bCs w:val="0"/>
          <w:kern w:val="0"/>
          <w:sz w:val="32"/>
          <w:szCs w:val="32"/>
          <w:shd w:val="clear" w:fill="FFFFFF" w:themeFill="background1"/>
          <w:lang w:val="en-US" w:eastAsia="zh-CN"/>
        </w:rPr>
      </w:pPr>
      <w:r>
        <w:rPr>
          <w:rFonts w:hint="eastAsia" w:ascii="黑体" w:hAnsi="黑体" w:eastAsia="黑体" w:cs="黑体"/>
          <w:b w:val="0"/>
          <w:bCs w:val="0"/>
          <w:kern w:val="0"/>
          <w:sz w:val="32"/>
          <w:szCs w:val="32"/>
          <w:shd w:val="clear" w:fill="FFFFFF" w:themeFill="background1"/>
          <w:lang w:val="en-US" w:eastAsia="zh-CN"/>
        </w:rPr>
        <w:t>四、重点项目预算的绩效目标等预算绩效情况说明</w:t>
      </w:r>
    </w:p>
    <w:p>
      <w:pPr>
        <w:rPr>
          <w:rFonts w:hint="eastAsia" w:ascii="方正小标宋简体" w:eastAsia="方正小标宋简体" w:cs="宋体"/>
          <w:kern w:val="0"/>
          <w:sz w:val="44"/>
          <w:szCs w:val="44"/>
          <w:shd w:val="clear" w:fill="FFFFFF" w:themeFill="background1"/>
        </w:rPr>
      </w:pPr>
      <w:r>
        <w:rPr>
          <w:rFonts w:hint="eastAsia" w:ascii="华文仿宋" w:hAnsi="华文仿宋" w:eastAsia="华文仿宋" w:cs="华文仿宋"/>
          <w:kern w:val="0"/>
          <w:sz w:val="32"/>
          <w:szCs w:val="32"/>
          <w:shd w:val="clear" w:fill="FFFFFF" w:themeFill="background1"/>
          <w:lang w:val="en-US" w:eastAsia="zh-CN"/>
        </w:rPr>
        <w:t>我单位无重点项目预算的绩效目标项目。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460BB9"/>
    <w:rsid w:val="59980563"/>
    <w:rsid w:val="6A460B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2019-02-21T03:42:00Z</dcterms:created>
  <dc:creator>帘雨淅淅</dc:creator>
  <cp:lastModifiedBy>帘雨淅淅</cp:lastModifiedBy>
  <dcterms:modified xsi:type="dcterms:W3CDTF">2019-02-21T03:44:11Z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