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ind w:firstLine="480"/>
        <w:textAlignment w:val="center"/>
        <w:rPr>
          <w:rStyle w:val="9"/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atLeast"/>
        <w:jc w:val="center"/>
        <w:textAlignment w:val="center"/>
        <w:rPr>
          <w:rStyle w:val="9"/>
          <w:rFonts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Style w:val="9"/>
          <w:rFonts w:hint="eastAsia" w:ascii="方正小标宋简体" w:eastAsia="方正小标宋简体"/>
          <w:b w:val="0"/>
          <w:bCs/>
          <w:sz w:val="44"/>
          <w:szCs w:val="44"/>
        </w:rPr>
        <w:t>2020年全市及市级财政预算执行情况说明</w:t>
      </w:r>
    </w:p>
    <w:bookmarkEnd w:id="0"/>
    <w:p>
      <w:pPr>
        <w:pStyle w:val="4"/>
        <w:spacing w:before="0" w:beforeAutospacing="0" w:after="0" w:afterAutospacing="0" w:line="480" w:lineRule="atLeast"/>
        <w:ind w:firstLine="480"/>
        <w:textAlignment w:val="center"/>
        <w:rPr>
          <w:rStyle w:val="9"/>
          <w:rFonts w:ascii="仿宋_GB2312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480"/>
        <w:textAlignment w:val="center"/>
        <w:rPr>
          <w:rFonts w:ascii="Times New Roman" w:hAnsi="Times New Roman" w:eastAsia="仿宋_GB2312" w:cs="Times New Roman"/>
          <w:color w:val="333333"/>
          <w:sz w:val="29"/>
          <w:szCs w:val="29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2020年，在市委的正确领导下，在市人大、市政协的监督指导下，全市财政工作积极应对新冠疫情、经济下行、减税降费等多重压力，加强收入征管，优化支出结构，全力支持“六稳”“六保”等重点工作，各项财政经济指标实现了稳定增长，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较好地完成了市四届人大四次会议和市四届人大常委会第二十三次、二十六次会议确定的各项财政任务。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40" w:firstLineChars="200"/>
        <w:rPr>
          <w:rStyle w:val="9"/>
          <w:rFonts w:ascii="Times New Roman" w:hAnsi="Times New Roman" w:eastAsia="黑体" w:cs="Times New Roman"/>
          <w:sz w:val="32"/>
          <w:szCs w:val="32"/>
        </w:rPr>
      </w:pPr>
      <w:r>
        <w:rPr>
          <w:rStyle w:val="9"/>
          <w:rFonts w:ascii="Times New Roman" w:hAnsi="黑体" w:eastAsia="黑体" w:cs="Times New Roman"/>
          <w:sz w:val="32"/>
          <w:szCs w:val="32"/>
        </w:rPr>
        <w:t>一、一般公共预算收支情况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40" w:firstLineChars="200"/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全市一般公共预算收入32.83亿元，占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调整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预算的103.04%，比上年增收0.29亿元，增长0.9%，剔除减税降费和一次性收入后，同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口径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增长8.1% ，其中：税收收入20.13亿元，占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调整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预算的97.49%，比上年下降5.2%；非税收入12.70亿元，占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调整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预算的113.28%，比上年增长12.38%。全市一般公共预算支出242.14亿元，占调整预算的98.99%，比上年多支0.34亿元，增长0.14%。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15"/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市级一般公共预算收入6.41亿元，占调整预算的103.42%，比上年增收0.6亿元，增长10.39%，同</w:t>
      </w:r>
      <w:r>
        <w:rPr>
          <w:rStyle w:val="9"/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口径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增长13.8%，其中：税收收入3.47亿元，占调整预算的104.9%，比上年增长10.63%；非税收入2.94亿元，占调整预算的101.72%，比上年增长10.1%。市级一般公共预算支出33.16亿元，占调整预算的98.22%，比上年多支42万元，增长0.01%。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15"/>
        <w:rPr>
          <w:rStyle w:val="9"/>
          <w:rFonts w:ascii="Times New Roman" w:hAnsi="Times New Roman" w:eastAsia="黑体" w:cs="Times New Roman"/>
          <w:sz w:val="32"/>
          <w:szCs w:val="32"/>
        </w:rPr>
      </w:pPr>
      <w:r>
        <w:rPr>
          <w:rStyle w:val="9"/>
          <w:rFonts w:ascii="Times New Roman" w:hAnsi="黑体" w:eastAsia="黑体" w:cs="Times New Roman"/>
          <w:sz w:val="32"/>
          <w:szCs w:val="32"/>
        </w:rPr>
        <w:t>二、政府性基金预算收支情况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15"/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全市政府性基金预算收入41.65亿元，占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调整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预算的86.19%，比上年增长28.63%。全市政府性基金预算支出65.13亿元，占调整预算的99.91%，比上年增长46.54%。</w:t>
      </w:r>
    </w:p>
    <w:p>
      <w:pPr>
        <w:tabs>
          <w:tab w:val="left" w:pos="1710"/>
        </w:tabs>
        <w:adjustRightInd w:val="0"/>
        <w:snapToGrid w:val="0"/>
        <w:spacing w:line="540" w:lineRule="exact"/>
        <w:ind w:firstLine="615"/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市级政府性基金预算收入22.57亿元，占调整预算的104.79%，比上年增长92.3</w:t>
      </w:r>
      <w:r>
        <w:rPr>
          <w:rStyle w:val="9"/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%。市级政府性基金预算支出16.58亿元，占调整预算的97.18%，比上年增长25%。</w:t>
      </w:r>
    </w:p>
    <w:p>
      <w:pPr>
        <w:adjustRightInd w:val="0"/>
        <w:snapToGrid w:val="0"/>
        <w:spacing w:line="540" w:lineRule="exact"/>
        <w:ind w:firstLine="630"/>
        <w:rPr>
          <w:rStyle w:val="9"/>
          <w:rFonts w:ascii="Times New Roman" w:hAnsi="Times New Roman" w:eastAsia="黑体" w:cs="Times New Roman"/>
          <w:sz w:val="32"/>
          <w:szCs w:val="32"/>
        </w:rPr>
      </w:pPr>
      <w:r>
        <w:rPr>
          <w:rStyle w:val="9"/>
          <w:rFonts w:ascii="Times New Roman" w:hAnsi="黑体" w:eastAsia="黑体" w:cs="Times New Roman"/>
          <w:sz w:val="32"/>
          <w:szCs w:val="32"/>
        </w:rPr>
        <w:t>三、国有资本经营预算收支情况</w:t>
      </w:r>
    </w:p>
    <w:p>
      <w:pPr>
        <w:adjustRightInd w:val="0"/>
        <w:snapToGrid w:val="0"/>
        <w:spacing w:line="540" w:lineRule="exact"/>
        <w:ind w:firstLine="630"/>
        <w:rPr>
          <w:rStyle w:val="9"/>
          <w:rFonts w:ascii="Times New Roman" w:hAnsi="Times New Roman" w:eastAsia="仿宋_GB2312" w:cs="Times New Roman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全市国有资本经营预算收入1.2亿元，占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调整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预算的129.37%，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比上年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下降23.62%。全市国有资本经营预算支出0.43亿元，占调整预算的73.28%，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比上年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增长264.1%。</w:t>
      </w:r>
    </w:p>
    <w:p>
      <w:pPr>
        <w:adjustRightInd w:val="0"/>
        <w:snapToGrid w:val="0"/>
        <w:spacing w:line="540" w:lineRule="exact"/>
        <w:ind w:firstLine="630"/>
        <w:rPr>
          <w:rStyle w:val="9"/>
          <w:rFonts w:ascii="Times New Roman" w:hAnsi="Times New Roman" w:eastAsia="仿宋_GB2312" w:cs="Times New Roman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市级国有资本经营预算收入1.06亿元，占调整预算的123.63%，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</w:rPr>
        <w:t>比上年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下降31.12%。市级国有资本经营预算支出0.17亿元，占调整预算的97.28%，比上年增长100%。</w:t>
      </w:r>
    </w:p>
    <w:p>
      <w:pPr>
        <w:adjustRightInd w:val="0"/>
        <w:snapToGrid w:val="0"/>
        <w:spacing w:line="540" w:lineRule="exact"/>
        <w:ind w:firstLine="630"/>
        <w:rPr>
          <w:rStyle w:val="9"/>
          <w:rFonts w:ascii="Times New Roman" w:hAnsi="Times New Roman" w:eastAsia="黑体" w:cs="Times New Roman"/>
          <w:sz w:val="32"/>
          <w:szCs w:val="32"/>
        </w:rPr>
      </w:pPr>
      <w:r>
        <w:rPr>
          <w:rStyle w:val="9"/>
          <w:rFonts w:ascii="Times New Roman" w:hAnsi="黑体" w:eastAsia="黑体" w:cs="Times New Roman"/>
          <w:sz w:val="32"/>
          <w:szCs w:val="32"/>
        </w:rPr>
        <w:t>四、社会保险基金预算收支情况</w:t>
      </w:r>
    </w:p>
    <w:p>
      <w:pPr>
        <w:adjustRightInd w:val="0"/>
        <w:snapToGrid w:val="0"/>
        <w:spacing w:line="540" w:lineRule="exact"/>
        <w:ind w:firstLine="640" w:firstLineChars="200"/>
        <w:rPr>
          <w:rStyle w:val="9"/>
          <w:rFonts w:ascii="Times New Roman" w:hAnsi="Times New Roman" w:eastAsia="仿宋_GB2312" w:cs="Times New Roman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全市社会保险基金预算收入完成69.49亿元，占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汇总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预算的76.26%，比上年增长16.65%。全市社会保险基金预算支出72.72亿元，占</w:t>
      </w:r>
      <w:r>
        <w:rPr>
          <w:rStyle w:val="9"/>
          <w:rFonts w:hint="eastAsia" w:ascii="Times New Roman" w:hAnsi="Times New Roman" w:eastAsia="仿宋_GB2312" w:cs="Times New Roman"/>
          <w:sz w:val="32"/>
          <w:szCs w:val="32"/>
        </w:rPr>
        <w:t>汇总</w:t>
      </w:r>
      <w:r>
        <w:rPr>
          <w:rStyle w:val="9"/>
          <w:rFonts w:ascii="Times New Roman" w:hAnsi="Times New Roman" w:eastAsia="仿宋_GB2312" w:cs="Times New Roman"/>
          <w:sz w:val="32"/>
          <w:szCs w:val="32"/>
        </w:rPr>
        <w:t>预算的81.04%，比上年增长33.1%。全市社会保险基金上年结转26.44亿元，当年结余-3.23亿元，年末滚存结余23.21亿元。</w:t>
      </w:r>
    </w:p>
    <w:p>
      <w:pPr>
        <w:adjustRightInd w:val="0"/>
        <w:snapToGrid w:val="0"/>
        <w:spacing w:line="540" w:lineRule="exact"/>
        <w:ind w:firstLine="640" w:firstLineChars="200"/>
        <w:rPr>
          <w:rStyle w:val="9"/>
          <w:rFonts w:ascii="Times New Roman" w:hAnsi="Times New Roman" w:eastAsia="仿宋_GB2312" w:cs="Times New Roman"/>
          <w:sz w:val="32"/>
          <w:szCs w:val="32"/>
        </w:rPr>
      </w:pPr>
      <w:r>
        <w:rPr>
          <w:rStyle w:val="9"/>
          <w:rFonts w:ascii="Times New Roman" w:hAnsi="Times New Roman" w:eastAsia="仿宋_GB2312" w:cs="Times New Roman"/>
          <w:sz w:val="32"/>
          <w:szCs w:val="32"/>
        </w:rPr>
        <w:t>市级社会保险基金预算收入完成39.63亿元，占预算数的62.47%，比上年增长20.06%。市级社会保险基金预算支出预计支出40.45亿元，占预算的64.71%，比上年增长38.13%。市级社会保险基金上年结转16.64亿元，当年结余-0.82亿元，年末滚存结余15.82亿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</w:rPr>
      <w:id w:val="350020829"/>
      <w:docPartObj>
        <w:docPartGallery w:val="AutoText"/>
      </w:docPartObj>
    </w:sdtPr>
    <w:sdtEndPr>
      <w:rPr>
        <w:rFonts w:ascii="宋体" w:hAnsi="宋体" w:eastAsia="宋体"/>
        <w:sz w:val="32"/>
        <w:szCs w:val="32"/>
      </w:rPr>
    </w:sdtEndPr>
    <w:sdtContent>
      <w:p>
        <w:pPr>
          <w:pStyle w:val="2"/>
          <w:jc w:val="center"/>
          <w:rPr>
            <w:rFonts w:ascii="宋体" w:hAnsi="宋体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2 -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9BA"/>
    <w:rsid w:val="00003852"/>
    <w:rsid w:val="000705E8"/>
    <w:rsid w:val="000803C1"/>
    <w:rsid w:val="000C3844"/>
    <w:rsid w:val="000E7272"/>
    <w:rsid w:val="000F55BF"/>
    <w:rsid w:val="001250AA"/>
    <w:rsid w:val="00125B06"/>
    <w:rsid w:val="0013400D"/>
    <w:rsid w:val="00141F74"/>
    <w:rsid w:val="00195A1A"/>
    <w:rsid w:val="00197881"/>
    <w:rsid w:val="001F71BA"/>
    <w:rsid w:val="00204000"/>
    <w:rsid w:val="00211D34"/>
    <w:rsid w:val="00256ECC"/>
    <w:rsid w:val="00296EBB"/>
    <w:rsid w:val="002A13C9"/>
    <w:rsid w:val="00303D6F"/>
    <w:rsid w:val="0033114B"/>
    <w:rsid w:val="0034585B"/>
    <w:rsid w:val="00377270"/>
    <w:rsid w:val="003F219B"/>
    <w:rsid w:val="00465075"/>
    <w:rsid w:val="004C3EA2"/>
    <w:rsid w:val="00514B9C"/>
    <w:rsid w:val="00530B76"/>
    <w:rsid w:val="00540E7D"/>
    <w:rsid w:val="0054443A"/>
    <w:rsid w:val="00566004"/>
    <w:rsid w:val="005C2553"/>
    <w:rsid w:val="00657DB4"/>
    <w:rsid w:val="00686FF3"/>
    <w:rsid w:val="006944A7"/>
    <w:rsid w:val="006B5100"/>
    <w:rsid w:val="00722A04"/>
    <w:rsid w:val="007466C2"/>
    <w:rsid w:val="00751BF7"/>
    <w:rsid w:val="0075634C"/>
    <w:rsid w:val="00791B95"/>
    <w:rsid w:val="007B3AEB"/>
    <w:rsid w:val="007B5741"/>
    <w:rsid w:val="007E5955"/>
    <w:rsid w:val="0081669B"/>
    <w:rsid w:val="00830F65"/>
    <w:rsid w:val="008907CB"/>
    <w:rsid w:val="008E26F7"/>
    <w:rsid w:val="009A040E"/>
    <w:rsid w:val="00A26BE4"/>
    <w:rsid w:val="00A67A49"/>
    <w:rsid w:val="00B07265"/>
    <w:rsid w:val="00B37135"/>
    <w:rsid w:val="00BB515F"/>
    <w:rsid w:val="00BB7F1A"/>
    <w:rsid w:val="00BD0C96"/>
    <w:rsid w:val="00C1134C"/>
    <w:rsid w:val="00C50C40"/>
    <w:rsid w:val="00C76326"/>
    <w:rsid w:val="00CB59BA"/>
    <w:rsid w:val="00D543CA"/>
    <w:rsid w:val="00D935D5"/>
    <w:rsid w:val="00DB34A7"/>
    <w:rsid w:val="00DC438B"/>
    <w:rsid w:val="00E17AF0"/>
    <w:rsid w:val="00EA477F"/>
    <w:rsid w:val="00EB672B"/>
    <w:rsid w:val="00EC0C64"/>
    <w:rsid w:val="00ED2927"/>
    <w:rsid w:val="00EF1ADE"/>
    <w:rsid w:val="00EF2F46"/>
    <w:rsid w:val="00EF3A7F"/>
    <w:rsid w:val="00F1556D"/>
    <w:rsid w:val="00F47346"/>
    <w:rsid w:val="00F7434B"/>
    <w:rsid w:val="00FB222A"/>
    <w:rsid w:val="FDC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2</Pages>
  <Words>187</Words>
  <Characters>1072</Characters>
  <Lines>8</Lines>
  <Paragraphs>2</Paragraphs>
  <TotalTime>114</TotalTime>
  <ScaleCrop>false</ScaleCrop>
  <LinksUpToDate>false</LinksUpToDate>
  <CharactersWithSpaces>1257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2021-01-20T17:10:00Z</dcterms:created>
  <dc:creator>贾禄平</dc:creator>
  <cp:lastModifiedBy>kylin</cp:lastModifiedBy>
  <cp:lastPrinted>2021-02-02T10:29:00Z</cp:lastPrinted>
  <dcterms:modified xsi:type="dcterms:W3CDTF">2021-03-01T09:29:50Z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